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6"/>
        <w:numPr>
          <w:ilvl w:val="0"/>
          <w:numId w:val="0"/>
        </w:numPr>
        <w:spacing w:line="240" w:lineRule="auto"/>
        <w:ind w:leftChars="0"/>
        <w:rPr>
          <w:rFonts w:hint="default" w:eastAsia="思源黑体 CN Heavy"/>
          <w:lang w:val="en-US" w:eastAsia="zh-CN"/>
        </w:rPr>
      </w:pPr>
      <w:bookmarkStart w:id="0" w:name="_Toc146613841"/>
      <w:r>
        <w:rPr>
          <w:color w:val="auto"/>
        </w:rPr>
        <w:t xml:space="preserve">MakeX </w:t>
      </w:r>
      <w:r>
        <w:rPr>
          <w:rFonts w:hint="eastAsia"/>
          <w:color w:val="auto"/>
        </w:rPr>
        <w:t>Inspire</w:t>
      </w:r>
      <w:r>
        <w:rPr>
          <w:rFonts w:hint="eastAsia"/>
          <w:color w:val="auto"/>
          <w:lang w:val="en-US" w:eastAsia="zh-CN"/>
        </w:rPr>
        <w:t xml:space="preserve"> </w:t>
      </w:r>
      <w:r>
        <w:rPr>
          <w:rFonts w:hint="eastAsia"/>
          <w:color w:val="auto"/>
          <w:lang w:eastAsia="zh-CN"/>
        </w:rPr>
        <w:t>——</w:t>
      </w:r>
      <w:r>
        <w:rPr>
          <w:rFonts w:hint="eastAsia"/>
          <w:color w:val="auto"/>
          <w:lang w:val="en-US" w:eastAsia="zh-CN"/>
        </w:rPr>
        <w:t xml:space="preserve"> </w:t>
      </w:r>
      <w:r>
        <w:rPr>
          <w:rFonts w:hint="eastAsia"/>
          <w:color w:val="auto"/>
        </w:rPr>
        <w:t>智慧物流</w:t>
      </w:r>
      <w:r>
        <w:rPr>
          <w:rFonts w:hint="eastAsia"/>
          <w:color w:val="auto"/>
          <w:lang w:val="en-US" w:eastAsia="zh-CN"/>
        </w:rPr>
        <w:t xml:space="preserve">  小学组</w:t>
      </w:r>
    </w:p>
    <w:p>
      <w:pPr>
        <w:pStyle w:val="36"/>
        <w:spacing w:line="240" w:lineRule="auto"/>
      </w:pPr>
      <w:r>
        <w:rPr>
          <w:rFonts w:hint="eastAsia"/>
        </w:rPr>
        <w:t>比赛内容</w:t>
      </w:r>
      <w:bookmarkEnd w:id="0"/>
    </w:p>
    <w:p>
      <w:pPr>
        <w:pStyle w:val="30"/>
        <w:rPr>
          <w:color w:val="auto"/>
        </w:rPr>
      </w:pPr>
      <w:bookmarkStart w:id="1" w:name="_Hlk80283808"/>
      <w:r>
        <w:rPr>
          <w:color w:val="auto"/>
        </w:rPr>
        <w:t xml:space="preserve">2024赛季MakeX </w:t>
      </w:r>
      <w:r>
        <w:rPr>
          <w:rFonts w:hint="eastAsia"/>
          <w:color w:val="auto"/>
        </w:rPr>
        <w:t>Inspire</w:t>
      </w:r>
      <w:r>
        <w:rPr>
          <w:color w:val="auto"/>
        </w:rPr>
        <w:t>的比赛主题为《</w:t>
      </w:r>
      <w:r>
        <w:rPr>
          <w:rFonts w:hint="eastAsia"/>
          <w:color w:val="auto"/>
        </w:rPr>
        <w:t>智慧物流</w:t>
      </w:r>
      <w:r>
        <w:rPr>
          <w:color w:val="auto"/>
        </w:rPr>
        <w:t>》。</w:t>
      </w:r>
    </w:p>
    <w:p>
      <w:pPr>
        <w:pStyle w:val="30"/>
        <w:rPr>
          <w:color w:val="auto"/>
        </w:rPr>
      </w:pPr>
      <w:r>
        <w:rPr>
          <w:rFonts w:hint="eastAsia"/>
          <w:color w:val="auto"/>
        </w:rPr>
        <w:t>随着工业</w:t>
      </w:r>
      <w:r>
        <w:rPr>
          <w:color w:val="auto"/>
        </w:rPr>
        <w:t>4.0时代的到来，新一代的</w:t>
      </w:r>
      <w:bookmarkStart w:id="2" w:name="_Hlk126757776"/>
      <w:r>
        <w:rPr>
          <w:color w:val="auto"/>
        </w:rPr>
        <w:t>革命技术不断在改变我们的生活，大量的人力劳动被机器所替代</w:t>
      </w:r>
      <w:bookmarkEnd w:id="2"/>
      <w:r>
        <w:rPr>
          <w:rFonts w:hint="eastAsia"/>
          <w:color w:val="auto"/>
        </w:rPr>
        <w:t>。</w:t>
      </w:r>
      <w:r>
        <w:rPr>
          <w:color w:val="auto"/>
        </w:rPr>
        <w:t xml:space="preserve"> </w:t>
      </w:r>
    </w:p>
    <w:p>
      <w:pPr>
        <w:pStyle w:val="30"/>
        <w:rPr>
          <w:color w:val="auto"/>
        </w:rPr>
      </w:pPr>
      <w:r>
        <w:rPr>
          <w:rFonts w:hint="eastAsia"/>
          <w:color w:val="auto"/>
        </w:rPr>
        <w:t>智慧物流便是模拟现代化的工厂物流场景，让学生充分学习场景中用到的物联网，人工智能等先进技术，综合利用机械结构，传感器，编程等知识完成自动化搬运，定点放置，安全仓储的任务。</w:t>
      </w:r>
      <w:bookmarkStart w:id="20" w:name="_GoBack"/>
      <w:bookmarkEnd w:id="20"/>
    </w:p>
    <w:bookmarkEnd w:id="1"/>
    <w:p>
      <w:pPr>
        <w:pStyle w:val="33"/>
        <w:spacing w:line="420" w:lineRule="exact"/>
      </w:pPr>
      <w:bookmarkStart w:id="3" w:name="_Toc146613842"/>
      <w:r>
        <w:rPr>
          <w:rFonts w:hint="eastAsia"/>
        </w:rPr>
        <w:t>玩法简介</w:t>
      </w:r>
      <w:bookmarkEnd w:id="3"/>
    </w:p>
    <w:p>
      <w:pPr>
        <w:pStyle w:val="30"/>
        <w:rPr>
          <w:color w:val="auto"/>
        </w:rPr>
      </w:pPr>
      <w:r>
        <w:rPr>
          <w:color w:val="auto"/>
        </w:rPr>
        <w:t>MakeX Inspire为</w:t>
      </w:r>
      <w:r>
        <w:rPr>
          <w:rFonts w:hint="eastAsia"/>
          <w:color w:val="auto"/>
        </w:rPr>
        <w:t>单</w:t>
      </w:r>
      <w:r>
        <w:rPr>
          <w:color w:val="auto"/>
        </w:rPr>
        <w:t>任务类赛项，比赛由</w:t>
      </w:r>
      <w:r>
        <w:rPr>
          <w:rFonts w:hint="eastAsia"/>
          <w:color w:val="auto"/>
        </w:rPr>
        <w:t>单支战队</w:t>
      </w:r>
      <w:r>
        <w:rPr>
          <w:rFonts w:hint="eastAsia"/>
          <w:color w:val="auto"/>
          <w:lang w:eastAsia="zh-CN"/>
        </w:rPr>
        <w:t>（</w:t>
      </w:r>
      <w:r>
        <w:rPr>
          <w:rFonts w:hint="eastAsia"/>
          <w:color w:val="auto"/>
          <w:lang w:val="en-US" w:eastAsia="zh-CN"/>
        </w:rPr>
        <w:t>1人/队伍</w:t>
      </w:r>
      <w:r>
        <w:rPr>
          <w:rFonts w:hint="eastAsia"/>
          <w:color w:val="auto"/>
          <w:lang w:eastAsia="zh-CN"/>
        </w:rPr>
        <w:t>）</w:t>
      </w:r>
      <w:r>
        <w:rPr>
          <w:rFonts w:hint="eastAsia"/>
          <w:color w:val="auto"/>
        </w:rPr>
        <w:t>独自</w:t>
      </w:r>
      <w:r>
        <w:rPr>
          <w:color w:val="auto"/>
        </w:rPr>
        <w:t>完成。</w:t>
      </w:r>
    </w:p>
    <w:p>
      <w:pPr>
        <w:pStyle w:val="30"/>
        <w:rPr>
          <w:color w:val="auto"/>
        </w:rPr>
      </w:pPr>
      <w:r>
        <w:rPr>
          <w:color w:val="auto"/>
        </w:rPr>
        <w:drawing>
          <wp:anchor distT="0" distB="0" distL="114300" distR="114300" simplePos="0" relativeHeight="251669504" behindDoc="0" locked="0" layoutInCell="1" allowOverlap="1">
            <wp:simplePos x="0" y="0"/>
            <wp:positionH relativeFrom="margin">
              <wp:align>center</wp:align>
            </wp:positionH>
            <wp:positionV relativeFrom="paragraph">
              <wp:posOffset>593090</wp:posOffset>
            </wp:positionV>
            <wp:extent cx="4714875" cy="2352040"/>
            <wp:effectExtent l="0" t="0" r="9525" b="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2" cstate="print">
                      <a:extLst>
                        <a:ext uri="{28A0092B-C50C-407E-A947-70E740481C1C}">
                          <a14:useLocalDpi xmlns:a14="http://schemas.microsoft.com/office/drawing/2010/main" val="0"/>
                        </a:ext>
                      </a:extLst>
                    </a:blip>
                    <a:srcRect t="24368" b="7695"/>
                    <a:stretch>
                      <a:fillRect/>
                    </a:stretch>
                  </pic:blipFill>
                  <pic:spPr>
                    <a:xfrm>
                      <a:off x="0" y="0"/>
                      <a:ext cx="4714875" cy="2352040"/>
                    </a:xfrm>
                    <a:prstGeom prst="rect">
                      <a:avLst/>
                    </a:prstGeom>
                    <a:noFill/>
                    <a:ln>
                      <a:noFill/>
                    </a:ln>
                  </pic:spPr>
                </pic:pic>
              </a:graphicData>
            </a:graphic>
          </wp:anchor>
        </w:drawing>
      </w:r>
      <w:r>
        <w:rPr>
          <w:rFonts w:hint="eastAsia"/>
          <w:color w:val="auto"/>
        </w:rPr>
        <w:t>比赛总时长为</w:t>
      </w:r>
      <w:r>
        <w:rPr>
          <w:color w:val="auto"/>
        </w:rPr>
        <w:t>150</w:t>
      </w:r>
      <w:r>
        <w:rPr>
          <w:rFonts w:hint="eastAsia"/>
          <w:color w:val="auto"/>
        </w:rPr>
        <w:t>秒，</w:t>
      </w:r>
      <w:r>
        <w:rPr>
          <w:color w:val="auto"/>
        </w:rPr>
        <w:t>比赛结束后，裁判根据计分时刻时</w:t>
      </w:r>
      <w:r>
        <w:rPr>
          <w:rFonts w:hint="eastAsia"/>
          <w:color w:val="auto"/>
        </w:rPr>
        <w:t>得分</w:t>
      </w:r>
      <w:r>
        <w:rPr>
          <w:color w:val="auto"/>
        </w:rPr>
        <w:t>道具的最终状态计算得分。</w:t>
      </w:r>
    </w:p>
    <w:p>
      <w:pPr>
        <w:pStyle w:val="30"/>
        <w:jc w:val="center"/>
        <w:rPr>
          <w:color w:val="auto"/>
        </w:rPr>
      </w:pPr>
      <w:r>
        <w:rPr>
          <w:rFonts w:hint="eastAsia"/>
          <w:bCs/>
          <w:color w:val="auto"/>
        </w:rPr>
        <w:t>图</w:t>
      </w:r>
      <w:r>
        <w:rPr>
          <w:bCs/>
          <w:color w:val="auto"/>
        </w:rPr>
        <w:t xml:space="preserve">4.1 </w:t>
      </w:r>
      <w:r>
        <w:rPr>
          <w:rFonts w:hint="eastAsia"/>
          <w:bCs/>
          <w:color w:val="auto"/>
        </w:rPr>
        <w:t>比赛场地轴测图4</w:t>
      </w:r>
      <w:r>
        <w:rPr>
          <w:bCs/>
          <w:color w:val="auto"/>
        </w:rPr>
        <w:t>5</w:t>
      </w:r>
      <w:r>
        <w:rPr>
          <w:rFonts w:hint="eastAsia"/>
          <w:bCs/>
          <w:color w:val="auto"/>
        </w:rPr>
        <w:t>°</w:t>
      </w:r>
    </w:p>
    <w:p>
      <w:pPr>
        <w:pStyle w:val="33"/>
      </w:pPr>
      <w:bookmarkStart w:id="4" w:name="_Toc146613843"/>
      <w:r>
        <w:rPr>
          <w:rFonts w:hint="eastAsia"/>
        </w:rPr>
        <w:t>场地说明</w:t>
      </w:r>
      <w:bookmarkEnd w:id="4"/>
    </w:p>
    <w:p>
      <w:pPr>
        <w:pStyle w:val="30"/>
        <w:wordWrap w:val="0"/>
        <w:rPr>
          <w:color w:val="auto"/>
        </w:rPr>
      </w:pPr>
      <w:r>
        <w:rPr>
          <w:color w:val="auto"/>
        </w:rPr>
        <w:drawing>
          <wp:anchor distT="0" distB="0" distL="114300" distR="114300" simplePos="0" relativeHeight="251677696" behindDoc="0" locked="0" layoutInCell="1" allowOverlap="1">
            <wp:simplePos x="0" y="0"/>
            <wp:positionH relativeFrom="margin">
              <wp:align>center</wp:align>
            </wp:positionH>
            <wp:positionV relativeFrom="paragraph">
              <wp:posOffset>648335</wp:posOffset>
            </wp:positionV>
            <wp:extent cx="3540125" cy="3228975"/>
            <wp:effectExtent l="0" t="0" r="3175" b="9525"/>
            <wp:wrapTopAndBottom/>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13" cstate="print">
                      <a:extLst>
                        <a:ext uri="{28A0092B-C50C-407E-A947-70E740481C1C}">
                          <a14:useLocalDpi xmlns:a14="http://schemas.microsoft.com/office/drawing/2010/main" val="0"/>
                        </a:ext>
                      </a:extLst>
                    </a:blip>
                    <a:srcRect l="23821" r="22401"/>
                    <a:stretch>
                      <a:fillRect/>
                    </a:stretch>
                  </pic:blipFill>
                  <pic:spPr>
                    <a:xfrm>
                      <a:off x="0" y="0"/>
                      <a:ext cx="3540125" cy="3228975"/>
                    </a:xfrm>
                    <a:prstGeom prst="rect">
                      <a:avLst/>
                    </a:prstGeom>
                    <a:ln>
                      <a:noFill/>
                    </a:ln>
                  </pic:spPr>
                </pic:pic>
              </a:graphicData>
            </a:graphic>
          </wp:anchor>
        </w:drawing>
      </w:r>
      <w:r>
        <w:rPr>
          <w:rFonts w:eastAsia="思源黑体 CN Heavy"/>
        </w:rPr>
        <w:t>MakeX Inspire</w:t>
      </w:r>
      <w:r>
        <w:rPr>
          <w:color w:val="auto"/>
        </w:rPr>
        <w:t>比赛场地</w:t>
      </w:r>
      <w:r>
        <w:rPr>
          <w:rFonts w:hint="eastAsia"/>
          <w:color w:val="auto"/>
        </w:rPr>
        <w:t>由地图及边框组成，其中场地边框内尺寸为</w:t>
      </w:r>
      <w:r>
        <w:rPr>
          <w:color w:val="auto"/>
        </w:rPr>
        <w:t>1200mm*1200mm。</w:t>
      </w:r>
      <w:r>
        <w:rPr>
          <w:rFonts w:hint="eastAsia"/>
          <w:color w:val="auto"/>
        </w:rPr>
        <w:t>地图</w:t>
      </w:r>
      <w:r>
        <w:rPr>
          <w:color w:val="auto"/>
        </w:rPr>
        <w:t>主要包括</w:t>
      </w:r>
      <w:r>
        <w:rPr>
          <w:rFonts w:hint="eastAsia"/>
          <w:color w:val="auto"/>
        </w:rPr>
        <w:t>起始区、存储中心、仓储位三个区域。</w:t>
      </w:r>
    </w:p>
    <w:p>
      <w:pPr>
        <w:pStyle w:val="30"/>
        <w:spacing w:after="156" w:afterLines="50"/>
        <w:ind w:firstLine="0"/>
        <w:jc w:val="center"/>
        <w:rPr>
          <w:bCs/>
          <w:color w:val="auto"/>
        </w:rPr>
      </w:pPr>
      <w:r>
        <w:rPr>
          <w:rFonts w:hint="eastAsia"/>
          <w:bCs/>
          <w:color w:val="auto"/>
        </w:rPr>
        <w:t>图</w:t>
      </w:r>
      <w:r>
        <w:rPr>
          <w:bCs/>
          <w:color w:val="auto"/>
        </w:rPr>
        <w:t xml:space="preserve">4.2-1 </w:t>
      </w:r>
      <w:r>
        <w:rPr>
          <w:rFonts w:hint="eastAsia"/>
          <w:bCs/>
          <w:color w:val="auto"/>
        </w:rPr>
        <w:t>场地区域示意图</w:t>
      </w:r>
    </w:p>
    <w:p>
      <w:pPr>
        <w:pStyle w:val="63"/>
        <w:spacing w:line="240" w:lineRule="exact"/>
        <w:ind w:firstLine="480" w:firstLineChars="200"/>
        <w:rPr>
          <w:rFonts w:ascii="思源黑体 CN Regular" w:hAnsi="思源黑体 CN Regular" w:eastAsia="思源黑体 CN Regular"/>
          <w:b w:val="0"/>
          <w:color w:val="000000" w:themeColor="text1"/>
          <w:lang w:bidi="ar"/>
          <w14:textFill>
            <w14:solidFill>
              <w14:schemeClr w14:val="tx1"/>
            </w14:solidFill>
          </w14:textFill>
        </w:rPr>
      </w:pPr>
      <w:r>
        <w:rPr>
          <w:rFonts w:hint="eastAsia" w:ascii="思源黑体 CN Regular" w:hAnsi="思源黑体 CN Regular" w:eastAsia="思源黑体 CN Regular"/>
          <w:b w:val="0"/>
          <w:color w:val="000000" w:themeColor="text1"/>
          <w:lang w:bidi="ar"/>
          <w14:textFill>
            <w14:solidFill>
              <w14:schemeClr w14:val="tx1"/>
            </w14:solidFill>
          </w14:textFill>
        </w:rPr>
        <w:t>以下为主要区域说明：</w:t>
      </w:r>
    </w:p>
    <w:p>
      <w:pPr>
        <w:pStyle w:val="63"/>
      </w:pPr>
      <w:r>
        <w:rPr>
          <w:rFonts w:hint="eastAsia"/>
        </w:rPr>
        <w:t>起始区</w:t>
      </w:r>
    </w:p>
    <w:p>
      <w:pPr>
        <w:pStyle w:val="63"/>
        <w:rPr>
          <w:rFonts w:ascii="Times New Roman" w:hAnsi="Times New Roman" w:eastAsia="宋体" w:cs="Times New Roman"/>
          <w:sz w:val="22"/>
        </w:rPr>
      </w:pPr>
      <w:r>
        <w:rPr>
          <w:rFonts w:ascii="思源黑体 CN Regular" w:hAnsi="思源黑体 CN Regular" w:eastAsia="思源黑体 CN Regular"/>
          <w:b w:val="0"/>
          <w:color w:val="000000" w:themeColor="text1"/>
          <w:lang w:bidi="ar"/>
          <w14:textFill>
            <w14:solidFill>
              <w14:schemeClr w14:val="tx1"/>
            </w14:solidFill>
          </w14:textFill>
        </w:rPr>
        <w:drawing>
          <wp:anchor distT="0" distB="0" distL="114300" distR="114300" simplePos="0" relativeHeight="251670528" behindDoc="0" locked="0" layoutInCell="1" allowOverlap="1">
            <wp:simplePos x="0" y="0"/>
            <wp:positionH relativeFrom="margin">
              <wp:align>center</wp:align>
            </wp:positionH>
            <wp:positionV relativeFrom="paragraph">
              <wp:posOffset>386715</wp:posOffset>
            </wp:positionV>
            <wp:extent cx="1837690" cy="1822450"/>
            <wp:effectExtent l="0" t="0" r="0" b="6350"/>
            <wp:wrapTopAndBottom/>
            <wp:docPr id="1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37690" cy="1822450"/>
                    </a:xfrm>
                    <a:prstGeom prst="rect">
                      <a:avLst/>
                    </a:prstGeom>
                  </pic:spPr>
                </pic:pic>
              </a:graphicData>
            </a:graphic>
          </wp:anchor>
        </w:drawing>
      </w:r>
      <w:r>
        <w:rPr>
          <w:rFonts w:ascii="思源黑体 CN Regular" w:hAnsi="思源黑体 CN Regular" w:eastAsia="思源黑体 CN Regular"/>
          <w:b w:val="0"/>
          <w:color w:val="000000" w:themeColor="text1"/>
          <w:lang w:bidi="ar"/>
          <w14:textFill>
            <w14:solidFill>
              <w14:schemeClr w14:val="tx1"/>
            </w14:solidFill>
          </w14:textFill>
        </w:rPr>
        <w:tab/>
      </w:r>
      <w:r>
        <w:rPr>
          <w:rFonts w:hint="eastAsia" w:ascii="思源黑体 CN Regular" w:hAnsi="思源黑体 CN Regular" w:eastAsia="思源黑体 CN Regular"/>
          <w:b w:val="0"/>
          <w:color w:val="000000" w:themeColor="text1"/>
          <w:lang w:bidi="ar"/>
          <w14:textFill>
            <w14:solidFill>
              <w14:schemeClr w14:val="tx1"/>
            </w14:solidFill>
          </w14:textFill>
        </w:rPr>
        <w:t>场地共有1个起始区，尺寸为</w:t>
      </w:r>
      <w:r>
        <w:rPr>
          <w:rFonts w:ascii="思源黑体 CN Regular" w:hAnsi="思源黑体 CN Regular" w:eastAsia="思源黑体 CN Regular"/>
          <w:b w:val="0"/>
          <w:color w:val="000000" w:themeColor="text1"/>
          <w:lang w:bidi="ar"/>
          <w14:textFill>
            <w14:solidFill>
              <w14:schemeClr w14:val="tx1"/>
            </w14:solidFill>
          </w14:textFill>
        </w:rPr>
        <w:t>250mm*250mm</w:t>
      </w:r>
    </w:p>
    <w:p>
      <w:pPr>
        <w:pStyle w:val="30"/>
        <w:spacing w:after="156" w:afterLines="50"/>
        <w:ind w:firstLine="0"/>
        <w:jc w:val="center"/>
        <w:rPr>
          <w:bCs/>
          <w:color w:val="auto"/>
        </w:rPr>
      </w:pPr>
      <w:r>
        <w:rPr>
          <w:rFonts w:hint="eastAsia"/>
          <w:bCs/>
          <w:color w:val="auto"/>
        </w:rPr>
        <w:t>图</w:t>
      </w:r>
      <w:r>
        <w:rPr>
          <w:bCs/>
          <w:color w:val="auto"/>
        </w:rPr>
        <w:t>4.2-2</w:t>
      </w:r>
      <w:r>
        <w:rPr>
          <w:rFonts w:hint="eastAsia"/>
          <w:bCs/>
          <w:color w:val="auto"/>
        </w:rPr>
        <w:t>起始区示意图</w:t>
      </w:r>
    </w:p>
    <w:p>
      <w:pPr>
        <w:pStyle w:val="30"/>
        <w:spacing w:after="156" w:afterLines="50"/>
        <w:ind w:firstLine="0"/>
        <w:jc w:val="center"/>
        <w:rPr>
          <w:bCs/>
          <w:color w:val="auto"/>
        </w:rPr>
      </w:pPr>
    </w:p>
    <w:p>
      <w:pPr>
        <w:pStyle w:val="30"/>
        <w:spacing w:after="156" w:afterLines="50"/>
        <w:ind w:firstLine="0"/>
        <w:jc w:val="center"/>
        <w:rPr>
          <w:bCs/>
          <w:color w:val="auto"/>
        </w:rPr>
      </w:pPr>
    </w:p>
    <w:p>
      <w:pPr>
        <w:pStyle w:val="30"/>
        <w:spacing w:after="156" w:afterLines="50"/>
        <w:ind w:firstLine="0"/>
        <w:jc w:val="center"/>
        <w:rPr>
          <w:bCs/>
          <w:color w:val="auto"/>
        </w:rPr>
      </w:pPr>
    </w:p>
    <w:p>
      <w:pPr>
        <w:pStyle w:val="63"/>
      </w:pPr>
      <w:r>
        <w:rPr>
          <w:rFonts w:hint="eastAsia"/>
        </w:rPr>
        <w:t>存储中心</w:t>
      </w:r>
    </w:p>
    <w:p>
      <w:pPr>
        <w:pStyle w:val="30"/>
        <w:rPr>
          <w:bCs/>
          <w:color w:val="auto"/>
        </w:rPr>
      </w:pPr>
      <w:r>
        <w:rPr>
          <w:color w:val="auto"/>
        </w:rPr>
        <w:drawing>
          <wp:anchor distT="0" distB="0" distL="114300" distR="114300" simplePos="0" relativeHeight="251671552" behindDoc="0" locked="0" layoutInCell="1" allowOverlap="1">
            <wp:simplePos x="0" y="0"/>
            <wp:positionH relativeFrom="margin">
              <wp:align>center</wp:align>
            </wp:positionH>
            <wp:positionV relativeFrom="paragraph">
              <wp:posOffset>304800</wp:posOffset>
            </wp:positionV>
            <wp:extent cx="2124075" cy="2116455"/>
            <wp:effectExtent l="0" t="0" r="9525" b="0"/>
            <wp:wrapTopAndBottom/>
            <wp:docPr id="2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24075" cy="2116455"/>
                    </a:xfrm>
                    <a:prstGeom prst="rect">
                      <a:avLst/>
                    </a:prstGeom>
                  </pic:spPr>
                </pic:pic>
              </a:graphicData>
            </a:graphic>
          </wp:anchor>
        </w:drawing>
      </w:r>
      <w:r>
        <w:rPr>
          <w:rFonts w:hint="eastAsia"/>
          <w:color w:val="auto"/>
        </w:rPr>
        <w:t>存储中心位于场地中央位置，</w:t>
      </w:r>
      <w:bookmarkStart w:id="5" w:name="_Hlk126915865"/>
      <w:r>
        <w:rPr>
          <w:rFonts w:hint="eastAsia"/>
          <w:color w:val="auto"/>
        </w:rPr>
        <w:t>由</w:t>
      </w:r>
      <w:r>
        <w:rPr>
          <w:rFonts w:hint="eastAsia"/>
        </w:rPr>
        <w:t>五个</w:t>
      </w:r>
      <w:r>
        <w:t>50</w:t>
      </w:r>
      <w:r>
        <w:rPr>
          <w:rFonts w:hint="eastAsia"/>
        </w:rPr>
        <w:t>mm</w:t>
      </w:r>
      <w:r>
        <w:t>*50mm正方形组成的十字</w:t>
      </w:r>
      <w:bookmarkEnd w:id="5"/>
      <w:r>
        <w:rPr>
          <w:rFonts w:hint="eastAsia"/>
        </w:rPr>
        <w:t>区域。</w:t>
      </w:r>
    </w:p>
    <w:p>
      <w:pPr>
        <w:pStyle w:val="30"/>
        <w:spacing w:after="156" w:afterLines="50"/>
        <w:ind w:firstLine="0"/>
        <w:jc w:val="center"/>
        <w:rPr>
          <w:bCs/>
          <w:color w:val="auto"/>
        </w:rPr>
      </w:pPr>
      <w:r>
        <w:rPr>
          <w:rFonts w:hint="eastAsia"/>
          <w:bCs/>
          <w:color w:val="auto"/>
        </w:rPr>
        <w:t>图4</w:t>
      </w:r>
      <w:r>
        <w:rPr>
          <w:bCs/>
          <w:color w:val="auto"/>
        </w:rPr>
        <w:t>.2-3</w:t>
      </w:r>
      <w:r>
        <w:rPr>
          <w:rFonts w:hint="eastAsia"/>
          <w:bCs/>
          <w:color w:val="auto"/>
        </w:rPr>
        <w:t>存储中心示意图</w:t>
      </w:r>
    </w:p>
    <w:p>
      <w:pPr>
        <w:pStyle w:val="63"/>
      </w:pPr>
      <w:r>
        <w:rPr>
          <w:rFonts w:hint="eastAsia"/>
        </w:rPr>
        <w:t>仓储位</w:t>
      </w:r>
    </w:p>
    <w:p>
      <w:pPr>
        <w:pStyle w:val="63"/>
        <w:ind w:firstLine="480" w:firstLineChars="200"/>
        <w:rPr>
          <w:rFonts w:ascii="思源黑体 CN Regular" w:hAnsi="思源黑体 CN Regular" w:eastAsia="思源黑体 CN Regular"/>
          <w:b w:val="0"/>
          <w:color w:val="auto"/>
        </w:rPr>
      </w:pPr>
      <w:r>
        <w:rPr>
          <w:rFonts w:ascii="思源黑体 CN Regular" w:hAnsi="思源黑体 CN Regular" w:eastAsia="思源黑体 CN Regular"/>
          <w:b w:val="0"/>
          <w:color w:val="auto"/>
        </w:rPr>
        <w:drawing>
          <wp:anchor distT="0" distB="0" distL="114300" distR="114300" simplePos="0" relativeHeight="251672576" behindDoc="0" locked="0" layoutInCell="1" allowOverlap="1">
            <wp:simplePos x="0" y="0"/>
            <wp:positionH relativeFrom="margin">
              <wp:align>center</wp:align>
            </wp:positionH>
            <wp:positionV relativeFrom="paragraph">
              <wp:posOffset>585470</wp:posOffset>
            </wp:positionV>
            <wp:extent cx="1895475" cy="1863725"/>
            <wp:effectExtent l="0" t="0" r="9525" b="3175"/>
            <wp:wrapTopAndBottom/>
            <wp:docPr id="47"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6"/>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895475" cy="1863725"/>
                    </a:xfrm>
                    <a:prstGeom prst="rect">
                      <a:avLst/>
                    </a:prstGeom>
                  </pic:spPr>
                </pic:pic>
              </a:graphicData>
            </a:graphic>
          </wp:anchor>
        </w:drawing>
      </w:r>
      <w:r>
        <w:rPr>
          <w:rFonts w:hint="eastAsia" w:ascii="思源黑体 CN Regular" w:hAnsi="思源黑体 CN Regular" w:eastAsia="思源黑体 CN Regular"/>
          <w:b w:val="0"/>
          <w:color w:val="auto"/>
        </w:rPr>
        <w:t>仓储位为图示</w:t>
      </w:r>
      <w:r>
        <w:rPr>
          <w:rFonts w:ascii="思源黑体 CN Regular" w:hAnsi="思源黑体 CN Regular" w:eastAsia="思源黑体 CN Regular"/>
          <w:b w:val="0"/>
          <w:color w:val="auto"/>
        </w:rPr>
        <w:t>40mm*40mm</w:t>
      </w:r>
      <w:r>
        <w:rPr>
          <w:rFonts w:hint="eastAsia" w:ascii="思源黑体 CN Regular" w:hAnsi="思源黑体 CN Regular" w:eastAsia="思源黑体 CN Regular"/>
          <w:b w:val="0"/>
          <w:color w:val="auto"/>
        </w:rPr>
        <w:t>的正方形区域，共有8个，分布在地图的不同位置。</w:t>
      </w:r>
    </w:p>
    <w:p>
      <w:pPr>
        <w:pStyle w:val="30"/>
        <w:spacing w:after="156" w:afterLines="50"/>
        <w:ind w:firstLine="0"/>
        <w:jc w:val="center"/>
        <w:rPr>
          <w:bCs/>
          <w:color w:val="auto"/>
        </w:rPr>
      </w:pPr>
      <w:r>
        <w:rPr>
          <w:rFonts w:hint="eastAsia"/>
          <w:bCs/>
          <w:color w:val="auto"/>
        </w:rPr>
        <w:t>图4</w:t>
      </w:r>
      <w:r>
        <w:rPr>
          <w:bCs/>
          <w:color w:val="auto"/>
        </w:rPr>
        <w:t xml:space="preserve">.2-4 </w:t>
      </w:r>
      <w:r>
        <w:rPr>
          <w:rFonts w:hint="eastAsia"/>
          <w:bCs/>
          <w:color w:val="auto"/>
        </w:rPr>
        <w:t>仓储位示意图</w:t>
      </w:r>
    </w:p>
    <w:p>
      <w:pPr>
        <w:pStyle w:val="33"/>
        <w:spacing w:line="420" w:lineRule="exact"/>
      </w:pPr>
      <w:bookmarkStart w:id="6" w:name="_Toc146613844"/>
      <w:r>
        <w:rPr>
          <w:rFonts w:hint="eastAsia"/>
        </w:rPr>
        <w:t>道具介绍</w:t>
      </w:r>
      <w:bookmarkEnd w:id="6"/>
    </w:p>
    <w:p>
      <w:pPr>
        <w:pStyle w:val="63"/>
        <w:ind w:firstLine="482" w:firstLineChars="200"/>
      </w:pPr>
      <w:r>
        <w:rPr>
          <w:color w:val="auto"/>
        </w:rPr>
        <w:t>道具名称：</w:t>
      </w:r>
      <w:r>
        <w:rPr>
          <w:rFonts w:hint="eastAsia"/>
          <w:color w:val="auto"/>
        </w:rPr>
        <w:t>运输箱</w:t>
      </w:r>
    </w:p>
    <w:p>
      <w:pPr>
        <w:ind w:firstLine="482" w:firstLineChars="200"/>
        <w:jc w:val="left"/>
        <w:rPr>
          <w:rFonts w:cs="微软雅黑"/>
          <w:color w:val="000000" w:themeColor="text1"/>
          <w:sz w:val="24"/>
          <w:szCs w:val="21"/>
          <w14:textFill>
            <w14:solidFill>
              <w14:schemeClr w14:val="tx1"/>
            </w14:solidFill>
          </w14:textFill>
        </w:rPr>
      </w:pPr>
      <w:r>
        <w:rPr>
          <w:rFonts w:ascii="思源黑体 CN Heavy" w:hAnsi="思源黑体 CN Heavy" w:eastAsia="思源黑体 CN Heavy" w:cs="微软雅黑"/>
          <w:b/>
          <w:sz w:val="24"/>
          <w:szCs w:val="21"/>
        </w:rPr>
        <w:t>道具介绍：</w:t>
      </w:r>
      <w:r>
        <w:rPr>
          <w:rFonts w:cs="微软雅黑"/>
          <w:color w:val="000000" w:themeColor="text1"/>
          <w:sz w:val="24"/>
          <w:szCs w:val="21"/>
          <w14:textFill>
            <w14:solidFill>
              <w14:schemeClr w14:val="tx1"/>
            </w14:solidFill>
          </w14:textFill>
        </w:rPr>
        <w:t>边长50mm</w:t>
      </w:r>
      <w:r>
        <w:rPr>
          <w:rFonts w:hint="eastAsia" w:cs="微软雅黑"/>
          <w:color w:val="000000" w:themeColor="text1"/>
          <w:sz w:val="24"/>
          <w:szCs w:val="21"/>
          <w14:textFill>
            <w14:solidFill>
              <w14:schemeClr w14:val="tx1"/>
            </w14:solidFill>
          </w14:textFill>
        </w:rPr>
        <w:t>（±</w:t>
      </w:r>
      <w:r>
        <w:rPr>
          <w:rFonts w:cs="微软雅黑"/>
          <w:color w:val="000000" w:themeColor="text1"/>
          <w:sz w:val="24"/>
          <w:szCs w:val="21"/>
          <w14:textFill>
            <w14:solidFill>
              <w14:schemeClr w14:val="tx1"/>
            </w14:solidFill>
          </w14:textFill>
        </w:rPr>
        <w:t>2</w:t>
      </w:r>
      <w:r>
        <w:rPr>
          <w:rFonts w:hint="eastAsia" w:cs="微软雅黑"/>
          <w:color w:val="000000" w:themeColor="text1"/>
          <w:sz w:val="24"/>
          <w:szCs w:val="21"/>
          <w14:textFill>
            <w14:solidFill>
              <w14:schemeClr w14:val="tx1"/>
            </w14:solidFill>
          </w14:textFill>
        </w:rPr>
        <w:t>mm）</w:t>
      </w:r>
      <w:r>
        <w:rPr>
          <w:rFonts w:cs="微软雅黑"/>
          <w:color w:val="000000" w:themeColor="text1"/>
          <w:sz w:val="24"/>
          <w:szCs w:val="21"/>
          <w14:textFill>
            <w14:solidFill>
              <w14:schemeClr w14:val="tx1"/>
            </w14:solidFill>
          </w14:textFill>
        </w:rPr>
        <w:t>的正方体</w:t>
      </w:r>
    </w:p>
    <w:p>
      <w:pPr>
        <w:ind w:firstLine="480" w:firstLineChars="200"/>
        <w:jc w:val="left"/>
        <w:rPr>
          <w:rFonts w:cs="微软雅黑"/>
          <w:color w:val="000000" w:themeColor="text1"/>
          <w:sz w:val="24"/>
          <w:szCs w:val="21"/>
          <w14:textFill>
            <w14:solidFill>
              <w14:schemeClr w14:val="tx1"/>
            </w14:solidFill>
          </w14:textFill>
        </w:rPr>
      </w:pPr>
      <w:r>
        <w:rPr>
          <w:rFonts w:cs="微软雅黑"/>
          <w:color w:val="000000" w:themeColor="text1"/>
          <w:sz w:val="24"/>
          <w:szCs w:val="21"/>
          <w14:textFill>
            <w14:solidFill>
              <w14:schemeClr w14:val="tx1"/>
            </w14:solidFill>
          </w14:textFill>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338455</wp:posOffset>
                </wp:positionV>
                <wp:extent cx="837565" cy="837565"/>
                <wp:effectExtent l="0" t="0" r="19685" b="19685"/>
                <wp:wrapTopAndBottom/>
                <wp:docPr id="17" name="立方体 3"/>
                <wp:cNvGraphicFramePr/>
                <a:graphic xmlns:a="http://schemas.openxmlformats.org/drawingml/2006/main">
                  <a:graphicData uri="http://schemas.microsoft.com/office/word/2010/wordprocessingShape">
                    <wps:wsp>
                      <wps:cNvSpPr/>
                      <wps:spPr>
                        <a:xfrm>
                          <a:off x="0" y="0"/>
                          <a:ext cx="837565" cy="837565"/>
                        </a:xfrm>
                        <a:prstGeom prst="cub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id="立方体 3" o:spid="_x0000_s1026" o:spt="16" type="#_x0000_t16" style="position:absolute;left:0pt;margin-top:26.65pt;height:65.95pt;width:65.95pt;mso-position-horizontal:center;mso-position-horizontal-relative:margin;mso-wrap-distance-bottom:0pt;mso-wrap-distance-top:0pt;z-index:251673600;v-text-anchor:middle;mso-width-relative:page;mso-height-relative:page;" fillcolor="#FFFF00" filled="t" stroked="t" coordsize="21600,21600" o:gfxdata="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qjqGXdkAAAAHAQAADwAAAAAAAAABACAAAAAiAAAAZHJzL2Rvd25yZXYueG1sUEsBAhQA&#10;FAAAAAgAh07iQPaG52PxAQAA8gMAAA4AAAAAAAAAAQAgAAAAKAEAAGRycy9lMm9Eb2MueG1sUEsF&#10;BgAAAAAGAAYAWQEAAIsFAAAAAA==&#10;" adj="5400">
                <v:fill on="t" focussize="0,0"/>
                <v:stroke weight="1pt" color="#FFFF00 [3204]" miterlimit="8" joinstyle="miter"/>
                <v:imagedata o:title=""/>
                <o:lock v:ext="edit" aspectratio="f"/>
                <w10:wrap type="topAndBottom"/>
              </v:shape>
            </w:pict>
          </mc:Fallback>
        </mc:AlternateContent>
      </w:r>
      <w:r>
        <w:rPr>
          <w:rFonts w:ascii="思源黑体 CN Heavy" w:hAnsi="思源黑体 CN Heavy" w:eastAsia="思源黑体 CN Heavy" w:cs="微软雅黑"/>
          <w:b/>
          <w:sz w:val="24"/>
          <w:szCs w:val="21"/>
        </w:rPr>
        <w:t>颜色与材质：</w:t>
      </w:r>
      <w:r>
        <w:rPr>
          <w:rFonts w:hint="eastAsia" w:cs="微软雅黑"/>
          <w:color w:val="000000" w:themeColor="text1"/>
          <w:sz w:val="24"/>
          <w:szCs w:val="21"/>
          <w14:textFill>
            <w14:solidFill>
              <w14:schemeClr w14:val="tx1"/>
            </w14:solidFill>
          </w14:textFill>
        </w:rPr>
        <w:t>黄色</w:t>
      </w:r>
      <w:r>
        <w:rPr>
          <w:rFonts w:cs="微软雅黑"/>
          <w:color w:val="000000" w:themeColor="text1"/>
          <w:sz w:val="24"/>
          <w:szCs w:val="21"/>
          <w14:textFill>
            <w14:solidFill>
              <w14:schemeClr w14:val="tx1"/>
            </w14:solidFill>
          </w14:textFill>
        </w:rPr>
        <w:t>、</w:t>
      </w:r>
      <w:r>
        <w:rPr>
          <w:rFonts w:hint="eastAsia" w:cs="微软雅黑"/>
          <w:color w:val="000000" w:themeColor="text1"/>
          <w:sz w:val="24"/>
          <w:szCs w:val="21"/>
          <w14:textFill>
            <w14:solidFill>
              <w14:schemeClr w14:val="tx1"/>
            </w14:solidFill>
          </w14:textFill>
        </w:rPr>
        <w:t>EVA</w:t>
      </w:r>
    </w:p>
    <w:p>
      <w:pPr>
        <w:pStyle w:val="30"/>
        <w:spacing w:after="156" w:afterLines="50"/>
        <w:ind w:firstLine="0"/>
        <w:jc w:val="center"/>
        <w:rPr>
          <w:bCs/>
          <w:color w:val="auto"/>
        </w:rPr>
      </w:pPr>
      <w:r>
        <w:rPr>
          <w:rFonts w:hint="eastAsia"/>
          <w:bCs/>
          <w:color w:val="auto"/>
        </w:rPr>
        <w:t>图</w:t>
      </w:r>
      <w:r>
        <w:rPr>
          <w:bCs/>
          <w:color w:val="auto"/>
        </w:rPr>
        <w:t>4.3-1</w:t>
      </w:r>
      <w:r>
        <w:rPr>
          <w:rFonts w:hint="eastAsia"/>
          <w:bCs/>
          <w:color w:val="auto"/>
        </w:rPr>
        <w:t>运输箱示意图</w:t>
      </w:r>
    </w:p>
    <w:p>
      <w:pPr>
        <w:ind w:firstLine="480" w:firstLineChars="200"/>
        <w:jc w:val="left"/>
        <w:rPr>
          <w:rFonts w:cs="微软雅黑"/>
          <w:color w:val="000000" w:themeColor="text1"/>
          <w:sz w:val="24"/>
          <w:szCs w:val="21"/>
          <w14:textFill>
            <w14:solidFill>
              <w14:schemeClr w14:val="tx1"/>
            </w14:solidFill>
          </w14:textFill>
        </w:rPr>
      </w:pPr>
      <w:r>
        <w:rPr>
          <w:rFonts w:cs="微软雅黑"/>
          <w:color w:val="000000" w:themeColor="text1"/>
          <w:sz w:val="24"/>
          <w:szCs w:val="21"/>
          <w14:textFill>
            <w14:solidFill>
              <w14:schemeClr w14:val="tx1"/>
            </w14:solidFill>
          </w14:textFill>
        </w:rPr>
        <w:t>*注：所有场地及道具具有一定的合理误差。如现场有其他适配道具，</w:t>
      </w:r>
      <w:r>
        <w:rPr>
          <w:rFonts w:hint="eastAsia" w:cs="微软雅黑"/>
          <w:color w:val="000000" w:themeColor="text1"/>
          <w:sz w:val="24"/>
          <w:szCs w:val="21"/>
          <w14:textFill>
            <w14:solidFill>
              <w14:schemeClr w14:val="tx1"/>
            </w14:solidFill>
          </w14:textFill>
        </w:rPr>
        <w:t>经裁判同意后，参赛</w:t>
      </w:r>
      <w:r>
        <w:rPr>
          <w:rFonts w:cs="微软雅黑"/>
          <w:color w:val="000000" w:themeColor="text1"/>
          <w:sz w:val="24"/>
          <w:szCs w:val="21"/>
          <w14:textFill>
            <w14:solidFill>
              <w14:schemeClr w14:val="tx1"/>
            </w14:solidFill>
          </w14:textFill>
        </w:rPr>
        <w:t>选手可在赛前申请替换。</w:t>
      </w:r>
    </w:p>
    <w:p>
      <w:pPr>
        <w:pStyle w:val="81"/>
        <w:spacing w:line="420" w:lineRule="exact"/>
      </w:pPr>
      <w:bookmarkStart w:id="7" w:name="_Toc146613845"/>
      <w:r>
        <w:rPr>
          <w:rFonts w:hint="eastAsia"/>
        </w:rPr>
        <w:t>任务介绍及得分判定</w:t>
      </w:r>
      <w:bookmarkEnd w:id="7"/>
    </w:p>
    <w:p>
      <w:pPr>
        <w:pStyle w:val="30"/>
      </w:pPr>
      <w:r>
        <w:rPr>
          <w:rFonts w:hint="eastAsia"/>
        </w:rPr>
        <w:t>比赛中，每支战队需完成1轮常规任务及1轮神秘任务，每轮任务每支参赛战队将进行2场比赛，参赛战队可根据任务要求，使用自动程序或手动程序完成任务。</w:t>
      </w:r>
    </w:p>
    <w:p>
      <w:pPr>
        <w:pStyle w:val="30"/>
      </w:pPr>
      <w:r>
        <w:rPr>
          <w:rFonts w:hint="eastAsia"/>
        </w:rPr>
        <w:t>最终得分=常规任务最高分+神秘任务最高分。</w:t>
      </w:r>
    </w:p>
    <w:p>
      <w:pPr>
        <w:pStyle w:val="30"/>
        <w:rPr>
          <w:color w:val="auto"/>
          <w:szCs w:val="24"/>
        </w:rPr>
      </w:pPr>
      <w:r>
        <w:rPr>
          <w:rFonts w:hint="eastAsia" w:ascii="思源黑体 CN Heavy" w:hAnsi="思源黑体 CN Heavy" w:eastAsia="思源黑体 CN Heavy"/>
          <w:b/>
          <w:color w:val="auto"/>
        </w:rPr>
        <w:t>任务背景：</w:t>
      </w:r>
      <w:r>
        <w:rPr>
          <w:rFonts w:hint="eastAsia"/>
          <w:color w:val="auto"/>
          <w:szCs w:val="24"/>
        </w:rPr>
        <w:t>随着科学技术不断在改变我们的生活，大量的人力劳动被机器所替代，对机器适宜高效的使用，可以提高物流运输效率。</w:t>
      </w:r>
    </w:p>
    <w:p>
      <w:pPr>
        <w:pStyle w:val="63"/>
      </w:pPr>
      <w:r>
        <w:rPr>
          <w:rFonts w:hint="eastAsia"/>
        </w:rPr>
        <w:t>常规任务</w:t>
      </w:r>
    </w:p>
    <w:p>
      <w:pPr>
        <w:pStyle w:val="30"/>
        <w:rPr>
          <w:color w:val="auto"/>
          <w:szCs w:val="24"/>
        </w:rPr>
      </w:pPr>
      <w:r>
        <w:rPr>
          <w:rFonts w:hint="eastAsia" w:ascii="思源黑体 CN Heavy" w:hAnsi="思源黑体 CN Heavy" w:eastAsia="思源黑体 CN Heavy"/>
          <w:b/>
          <w:color w:val="auto"/>
        </w:rPr>
        <w:t>任务内容：</w:t>
      </w:r>
      <w:r>
        <w:rPr>
          <w:rFonts w:hint="eastAsia"/>
          <w:color w:val="auto"/>
          <w:szCs w:val="24"/>
        </w:rPr>
        <w:t>机器人将代表运输箱的黄色方块移入仓储位。</w:t>
      </w:r>
    </w:p>
    <w:p>
      <w:pPr>
        <w:pStyle w:val="30"/>
        <w:rPr>
          <w:color w:val="auto"/>
          <w:szCs w:val="24"/>
        </w:rPr>
      </w:pPr>
      <w:r>
        <w:drawing>
          <wp:anchor distT="0" distB="0" distL="114300" distR="114300" simplePos="0" relativeHeight="251674624" behindDoc="0" locked="0" layoutInCell="1" allowOverlap="1">
            <wp:simplePos x="0" y="0"/>
            <wp:positionH relativeFrom="margin">
              <wp:align>center</wp:align>
            </wp:positionH>
            <wp:positionV relativeFrom="paragraph">
              <wp:posOffset>574675</wp:posOffset>
            </wp:positionV>
            <wp:extent cx="4953000" cy="2867025"/>
            <wp:effectExtent l="0" t="0" r="0" b="9525"/>
            <wp:wrapTopAndBottom/>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7">
                      <a:extLst>
                        <a:ext uri="{28A0092B-C50C-407E-A947-70E740481C1C}">
                          <a14:useLocalDpi xmlns:a14="http://schemas.microsoft.com/office/drawing/2010/main" val="0"/>
                        </a:ext>
                      </a:extLst>
                    </a:blip>
                    <a:srcRect b="15921"/>
                    <a:stretch>
                      <a:fillRect/>
                    </a:stretch>
                  </pic:blipFill>
                  <pic:spPr>
                    <a:xfrm>
                      <a:off x="0" y="0"/>
                      <a:ext cx="4953000" cy="2867025"/>
                    </a:xfrm>
                    <a:prstGeom prst="rect">
                      <a:avLst/>
                    </a:prstGeom>
                    <a:ln>
                      <a:noFill/>
                    </a:ln>
                  </pic:spPr>
                </pic:pic>
              </a:graphicData>
            </a:graphic>
          </wp:anchor>
        </w:drawing>
      </w:r>
      <w:r>
        <w:rPr>
          <w:rFonts w:hint="eastAsia" w:ascii="思源黑体 CN Heavy" w:hAnsi="思源黑体 CN Heavy" w:eastAsia="思源黑体 CN Heavy"/>
          <w:b/>
          <w:color w:val="auto"/>
        </w:rPr>
        <w:t>初始状态：</w:t>
      </w:r>
      <w:bookmarkStart w:id="8" w:name="_Hlk126916680"/>
      <w:r>
        <w:rPr>
          <w:rFonts w:hint="eastAsia"/>
          <w:color w:val="auto"/>
          <w:szCs w:val="24"/>
        </w:rPr>
        <w:t>运输箱位于存储中心内，每层</w:t>
      </w:r>
      <w:r>
        <w:rPr>
          <w:color w:val="auto"/>
          <w:szCs w:val="24"/>
        </w:rPr>
        <w:t>5个</w:t>
      </w:r>
      <w:r>
        <w:rPr>
          <w:rFonts w:hint="eastAsia"/>
          <w:color w:val="auto"/>
          <w:szCs w:val="24"/>
        </w:rPr>
        <w:t>，摆放成“十”字，摆放两层，共</w:t>
      </w:r>
      <w:r>
        <w:rPr>
          <w:color w:val="auto"/>
          <w:szCs w:val="24"/>
        </w:rPr>
        <w:t>10</w:t>
      </w:r>
      <w:r>
        <w:rPr>
          <w:rFonts w:hint="eastAsia"/>
          <w:color w:val="auto"/>
          <w:szCs w:val="24"/>
        </w:rPr>
        <w:t>个运输箱</w:t>
      </w:r>
      <w:r>
        <w:rPr>
          <w:color w:val="auto"/>
          <w:szCs w:val="24"/>
        </w:rPr>
        <w:t>。</w:t>
      </w:r>
      <w:bookmarkEnd w:id="8"/>
    </w:p>
    <w:p>
      <w:pPr>
        <w:pStyle w:val="30"/>
        <w:spacing w:after="156" w:afterLines="50"/>
        <w:ind w:firstLine="0"/>
        <w:jc w:val="center"/>
        <w:rPr>
          <w:bCs/>
          <w:color w:val="auto"/>
        </w:rPr>
      </w:pPr>
      <w:r>
        <w:rPr>
          <w:rFonts w:hint="eastAsia"/>
          <w:bCs/>
          <w:color w:val="auto"/>
        </w:rPr>
        <w:t>图</w:t>
      </w:r>
      <w:r>
        <w:rPr>
          <w:bCs/>
          <w:color w:val="auto"/>
        </w:rPr>
        <w:t xml:space="preserve">4.4-1 </w:t>
      </w:r>
      <w:r>
        <w:rPr>
          <w:rFonts w:hint="eastAsia"/>
          <w:bCs/>
          <w:color w:val="auto"/>
        </w:rPr>
        <w:t>任务初始位置示意图</w:t>
      </w:r>
    </w:p>
    <w:p>
      <w:pPr>
        <w:pStyle w:val="30"/>
        <w:rPr>
          <w:color w:val="auto"/>
          <w:szCs w:val="24"/>
        </w:rPr>
      </w:pPr>
      <w:r>
        <w:rPr>
          <w:rFonts w:hint="eastAsia" w:ascii="思源黑体 CN Heavy" w:hAnsi="思源黑体 CN Heavy" w:eastAsia="思源黑体 CN Heavy"/>
          <w:b/>
          <w:color w:val="auto"/>
        </w:rPr>
        <w:t>任务分值：</w:t>
      </w:r>
      <w:r>
        <w:rPr>
          <w:rFonts w:hint="eastAsia"/>
          <w:color w:val="auto"/>
          <w:szCs w:val="24"/>
        </w:rPr>
        <w:t>每成功移入1个黄色方块，计</w:t>
      </w:r>
      <w:r>
        <w:rPr>
          <w:color w:val="auto"/>
          <w:szCs w:val="24"/>
        </w:rPr>
        <w:t xml:space="preserve"> 50 分。</w:t>
      </w:r>
    </w:p>
    <w:p>
      <w:pPr>
        <w:pStyle w:val="30"/>
        <w:rPr>
          <w:color w:val="auto"/>
          <w:szCs w:val="24"/>
        </w:rPr>
      </w:pPr>
      <w:r>
        <w:rPr>
          <w:rFonts w:hint="eastAsia" w:ascii="思源黑体 CN Heavy" w:hAnsi="思源黑体 CN Heavy" w:eastAsia="思源黑体 CN Heavy"/>
          <w:b/>
          <w:color w:val="auto"/>
        </w:rPr>
        <w:t>得分判定：</w:t>
      </w:r>
      <w:r>
        <w:rPr>
          <w:rFonts w:hint="eastAsia"/>
          <w:color w:val="auto"/>
          <w:szCs w:val="24"/>
        </w:rPr>
        <w:t>比赛结束后的计分时刻</w:t>
      </w:r>
    </w:p>
    <w:p>
      <w:pPr>
        <w:pStyle w:val="30"/>
        <w:rPr>
          <w:color w:val="auto"/>
          <w:szCs w:val="24"/>
        </w:rPr>
      </w:pPr>
      <w:r>
        <w:rPr>
          <w:color w:val="auto"/>
          <w:szCs w:val="24"/>
        </w:rPr>
        <w:t>a.黄色方块</w:t>
      </w:r>
      <w:r>
        <w:rPr>
          <w:rFonts w:hint="eastAsia"/>
          <w:color w:val="auto"/>
          <w:szCs w:val="24"/>
        </w:rPr>
        <w:t>完全覆盖仓储位，并与场地直接接触，不与机器人直接接触</w:t>
      </w:r>
      <w:r>
        <w:rPr>
          <w:color w:val="auto"/>
          <w:szCs w:val="24"/>
        </w:rPr>
        <w:t>；</w:t>
      </w:r>
    </w:p>
    <w:p>
      <w:pPr>
        <w:pStyle w:val="30"/>
        <w:rPr>
          <w:color w:val="auto"/>
          <w:szCs w:val="24"/>
        </w:rPr>
      </w:pPr>
      <w:r>
        <w:rPr>
          <w:color w:val="auto"/>
          <w:szCs w:val="24"/>
        </w:rPr>
        <w:t>b.</w:t>
      </w:r>
      <w:r>
        <w:rPr>
          <w:rFonts w:hint="eastAsia"/>
          <w:color w:val="auto"/>
          <w:szCs w:val="24"/>
        </w:rPr>
        <w:t>黄色方块仅与已完全覆盖仓储位的黄色方块直接接触，不与机器人直接接触</w:t>
      </w:r>
      <w:r>
        <w:rPr>
          <w:color w:val="auto"/>
          <w:szCs w:val="24"/>
        </w:rPr>
        <w:t>；</w:t>
      </w:r>
    </w:p>
    <w:p>
      <w:pPr>
        <w:pStyle w:val="30"/>
        <w:rPr>
          <w:color w:val="auto"/>
          <w:szCs w:val="24"/>
        </w:rPr>
      </w:pPr>
      <w:r>
        <w:rPr>
          <w:rFonts w:hint="eastAsia"/>
          <w:color w:val="auto"/>
          <w:szCs w:val="24"/>
        </w:rPr>
        <w:t>c</w:t>
      </w:r>
      <w:r>
        <w:rPr>
          <w:color w:val="auto"/>
          <w:szCs w:val="24"/>
        </w:rPr>
        <w:t>.</w:t>
      </w:r>
      <w:r>
        <w:rPr>
          <w:rFonts w:hint="eastAsia"/>
          <w:color w:val="auto"/>
          <w:szCs w:val="24"/>
        </w:rPr>
        <w:t>每个仓储位最多2个有效方块。</w:t>
      </w:r>
    </w:p>
    <w:p>
      <w:pPr>
        <w:pStyle w:val="30"/>
        <w:rPr>
          <w:color w:val="auto"/>
          <w:szCs w:val="24"/>
        </w:rPr>
      </w:pPr>
      <w:r>
        <w:rPr>
          <w:color w:val="auto"/>
          <w:szCs w:val="24"/>
        </w:rPr>
        <w:drawing>
          <wp:anchor distT="0" distB="0" distL="114300" distR="114300" simplePos="0" relativeHeight="251675648" behindDoc="0" locked="0" layoutInCell="1" allowOverlap="1">
            <wp:simplePos x="0" y="0"/>
            <wp:positionH relativeFrom="margin">
              <wp:align>right</wp:align>
            </wp:positionH>
            <wp:positionV relativeFrom="paragraph">
              <wp:posOffset>352425</wp:posOffset>
            </wp:positionV>
            <wp:extent cx="5278120" cy="1364615"/>
            <wp:effectExtent l="0" t="0" r="0" b="0"/>
            <wp:wrapTopAndBottom/>
            <wp:docPr id="54"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3"/>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8120" cy="1364615"/>
                    </a:xfrm>
                    <a:prstGeom prst="rect">
                      <a:avLst/>
                    </a:prstGeom>
                  </pic:spPr>
                </pic:pic>
              </a:graphicData>
            </a:graphic>
          </wp:anchor>
        </w:drawing>
      </w:r>
      <w:r>
        <w:rPr>
          <w:rFonts w:hint="eastAsia"/>
          <w:color w:val="auto"/>
          <w:szCs w:val="24"/>
        </w:rPr>
        <w:t>满足以上判定，则对应的黄色方块得分。</w:t>
      </w:r>
    </w:p>
    <w:p>
      <w:pPr>
        <w:pStyle w:val="30"/>
        <w:spacing w:after="156" w:afterLines="50"/>
        <w:ind w:firstLine="0"/>
        <w:jc w:val="center"/>
        <w:rPr>
          <w:bCs/>
          <w:color w:val="auto"/>
        </w:rPr>
      </w:pPr>
      <w:r>
        <w:rPr>
          <w:rFonts w:hint="eastAsia"/>
          <w:bCs/>
          <w:color w:val="auto"/>
        </w:rPr>
        <w:t>图</w:t>
      </w:r>
      <w:r>
        <w:rPr>
          <w:bCs/>
          <w:color w:val="auto"/>
        </w:rPr>
        <w:t xml:space="preserve">4.4-2 </w:t>
      </w:r>
      <w:r>
        <w:rPr>
          <w:rFonts w:hint="eastAsia"/>
          <w:bCs/>
          <w:color w:val="auto"/>
        </w:rPr>
        <w:t>任务得分判定图</w:t>
      </w:r>
      <w:r>
        <w:rPr>
          <w:bCs/>
          <w:color w:val="auto"/>
        </w:rPr>
        <w:t xml:space="preserve"> </w:t>
      </w:r>
    </w:p>
    <w:p>
      <w:pPr>
        <w:pStyle w:val="30"/>
        <w:ind w:firstLine="0"/>
        <w:jc w:val="left"/>
        <w:rPr>
          <w:bCs/>
          <w:color w:val="auto"/>
        </w:rPr>
      </w:pPr>
      <w:r>
        <w:rPr>
          <w:rFonts w:ascii="思源黑体 CN Heavy" w:hAnsi="思源黑体 CN Heavy" w:eastAsia="思源黑体 CN Heavy"/>
          <w:b/>
          <w:color w:val="auto"/>
        </w:rPr>
        <w:tab/>
      </w:r>
      <w:r>
        <w:rPr>
          <w:rFonts w:hint="eastAsia" w:ascii="思源黑体 CN Heavy" w:hAnsi="思源黑体 CN Heavy" w:eastAsia="思源黑体 CN Heavy"/>
          <w:b/>
          <w:color w:val="auto"/>
        </w:rPr>
        <w:t>计分说明：</w:t>
      </w:r>
    </w:p>
    <w:p>
      <w:pPr>
        <w:pStyle w:val="63"/>
        <w:ind w:firstLine="480" w:firstLineChars="200"/>
        <w:rPr>
          <w:rFonts w:ascii="思源黑体 CN Regular" w:hAnsi="思源黑体 CN Regular" w:eastAsia="思源黑体 CN Regular" w:cstheme="minorEastAsia"/>
          <w:b w:val="0"/>
          <w:color w:val="000000" w:themeColor="text1"/>
          <w:kern w:val="0"/>
          <w:lang w:bidi="ar"/>
          <w14:textFill>
            <w14:solidFill>
              <w14:schemeClr w14:val="tx1"/>
            </w14:solidFill>
          </w14:textFill>
        </w:rPr>
      </w:pPr>
      <w:r>
        <w:rPr>
          <w:rFonts w:ascii="思源黑体 CN Regular" w:hAnsi="思源黑体 CN Regular" w:eastAsia="思源黑体 CN Regular" w:cstheme="minorEastAsia"/>
          <w:b w:val="0"/>
          <w:color w:val="000000" w:themeColor="text1"/>
          <w:kern w:val="0"/>
          <w:lang w:bidi="ar"/>
          <w14:textFill>
            <w14:solidFill>
              <w14:schemeClr w14:val="tx1"/>
            </w14:solidFill>
          </w14:textFill>
        </w:rPr>
        <w:t>比赛结束后，裁判根据计分时刻时</w:t>
      </w:r>
      <w:r>
        <w:rPr>
          <w:rFonts w:hint="eastAsia" w:ascii="思源黑体 CN Regular" w:hAnsi="思源黑体 CN Regular" w:eastAsia="思源黑体 CN Regular" w:cstheme="minorEastAsia"/>
          <w:b w:val="0"/>
          <w:color w:val="000000" w:themeColor="text1"/>
          <w:kern w:val="0"/>
          <w:lang w:bidi="ar"/>
          <w14:textFill>
            <w14:solidFill>
              <w14:schemeClr w14:val="tx1"/>
            </w14:solidFill>
          </w14:textFill>
        </w:rPr>
        <w:t>得分</w:t>
      </w:r>
      <w:r>
        <w:rPr>
          <w:rFonts w:ascii="思源黑体 CN Regular" w:hAnsi="思源黑体 CN Regular" w:eastAsia="思源黑体 CN Regular" w:cstheme="minorEastAsia"/>
          <w:b w:val="0"/>
          <w:color w:val="000000" w:themeColor="text1"/>
          <w:kern w:val="0"/>
          <w:lang w:bidi="ar"/>
          <w14:textFill>
            <w14:solidFill>
              <w14:schemeClr w14:val="tx1"/>
            </w14:solidFill>
          </w14:textFill>
        </w:rPr>
        <w:t>道具的最终状态计算得分</w:t>
      </w:r>
      <w:r>
        <w:rPr>
          <w:rFonts w:hint="eastAsia" w:ascii="思源黑体 CN Regular" w:hAnsi="思源黑体 CN Regular" w:eastAsia="思源黑体 CN Regular" w:cstheme="minorEastAsia"/>
          <w:b w:val="0"/>
          <w:color w:val="000000" w:themeColor="text1"/>
          <w:kern w:val="0"/>
          <w:lang w:bidi="ar"/>
          <w14:textFill>
            <w14:solidFill>
              <w14:schemeClr w14:val="tx1"/>
            </w14:solidFill>
          </w14:textFill>
        </w:rPr>
        <w:t>。</w:t>
      </w:r>
    </w:p>
    <w:p>
      <w:pPr>
        <w:pStyle w:val="30"/>
        <w:rPr>
          <w:color w:val="auto"/>
          <w:szCs w:val="24"/>
        </w:rPr>
      </w:pPr>
      <w:r>
        <w:rPr>
          <w:rFonts w:hint="eastAsia"/>
          <w:color w:val="auto"/>
          <w:szCs w:val="24"/>
        </w:rPr>
        <w:t>单场比赛最高得分：</w:t>
      </w:r>
      <w:r>
        <w:rPr>
          <w:color w:val="auto"/>
          <w:szCs w:val="24"/>
        </w:rPr>
        <w:t>50*10=500分。</w:t>
      </w:r>
    </w:p>
    <w:p>
      <w:pPr>
        <w:pStyle w:val="63"/>
      </w:pPr>
      <w:r>
        <w:rPr>
          <w:rFonts w:hint="eastAsia"/>
        </w:rPr>
        <w:t>神秘任务</w:t>
      </w:r>
    </w:p>
    <w:p>
      <w:pPr>
        <w:pStyle w:val="30"/>
        <w:rPr>
          <w:color w:val="auto"/>
        </w:rPr>
      </w:pPr>
      <w:r>
        <w:rPr>
          <w:rFonts w:hint="eastAsia"/>
          <w:color w:val="auto"/>
        </w:rPr>
        <w:t>比赛中的神秘任务的类型，将在赛前的秩序册中公布，任务的具体内容将会在现场进行公布说明。</w:t>
      </w:r>
    </w:p>
    <w:p>
      <w:pPr>
        <w:pStyle w:val="30"/>
        <w:rPr>
          <w:color w:val="auto"/>
        </w:rPr>
      </w:pPr>
      <w:r>
        <w:rPr>
          <w:rFonts w:hint="eastAsia" w:ascii="思源黑体 CN Heavy" w:hAnsi="思源黑体 CN Heavy" w:eastAsia="思源黑体 CN Heavy"/>
          <w:b/>
          <w:color w:val="auto"/>
        </w:rPr>
        <w:t>任务类型：</w:t>
      </w:r>
      <w:r>
        <w:rPr>
          <w:color w:val="auto"/>
        </w:rPr>
        <w:t xml:space="preserve"> </w:t>
      </w:r>
    </w:p>
    <w:p>
      <w:pPr>
        <w:pStyle w:val="30"/>
        <w:rPr>
          <w:color w:val="auto"/>
        </w:rPr>
      </w:pPr>
      <w:r>
        <w:rPr>
          <w:rFonts w:hint="eastAsia"/>
          <w:color w:val="auto"/>
        </w:rPr>
        <w:t>一、固定点位摆放任务，场地有</w:t>
      </w:r>
      <w:r>
        <w:rPr>
          <w:color w:val="auto"/>
        </w:rPr>
        <w:t>8个仓储位，将会固定每个仓储位的运输箱摆放数量及要求</w:t>
      </w:r>
      <w:r>
        <w:rPr>
          <w:rFonts w:hint="eastAsia"/>
          <w:color w:val="auto"/>
        </w:rPr>
        <w:t>；</w:t>
      </w:r>
    </w:p>
    <w:p>
      <w:pPr>
        <w:pStyle w:val="30"/>
        <w:rPr>
          <w:color w:val="auto"/>
        </w:rPr>
      </w:pPr>
      <w:r>
        <w:rPr>
          <w:rFonts w:hint="eastAsia"/>
          <w:color w:val="auto"/>
        </w:rPr>
        <w:t>二、抬升类摆放任务，完成任务的过程将会涉及到使用抬升装置改变运输箱的上下位置；</w:t>
      </w:r>
    </w:p>
    <w:p>
      <w:pPr>
        <w:pStyle w:val="30"/>
        <w:rPr>
          <w:color w:val="auto"/>
        </w:rPr>
      </w:pPr>
      <w:r>
        <w:rPr>
          <w:rFonts w:hint="eastAsia"/>
          <w:color w:val="auto"/>
        </w:rPr>
        <w:t>三、自动程序类任务，要求使用自动控制模式完成任务，比赛开始后，不允许选手使用蓝牙手柄；</w:t>
      </w:r>
    </w:p>
    <w:p>
      <w:pPr>
        <w:pStyle w:val="30"/>
        <w:rPr>
          <w:color w:val="auto"/>
        </w:rPr>
      </w:pPr>
      <w:r>
        <w:rPr>
          <w:rFonts w:hint="eastAsia"/>
          <w:color w:val="auto"/>
        </w:rPr>
        <w:t>四、分类摆放任务，将会出现不同颜色的运输箱，要求按照运输箱的颜色进行分类摆放；</w:t>
      </w:r>
    </w:p>
    <w:p>
      <w:pPr>
        <w:pStyle w:val="30"/>
        <w:rPr>
          <w:color w:val="auto"/>
        </w:rPr>
      </w:pPr>
      <w:r>
        <w:rPr>
          <w:rFonts w:hint="eastAsia"/>
          <w:color w:val="auto"/>
        </w:rPr>
        <w:t>五、异形道具任务，将会出现圆柱体、三棱柱等不同形态的立体道具，按照要求进行道具摆放。</w:t>
      </w:r>
    </w:p>
    <w:p>
      <w:pPr>
        <w:pStyle w:val="30"/>
        <w:rPr>
          <w:color w:val="auto"/>
        </w:rPr>
      </w:pPr>
      <w:r>
        <w:rPr>
          <w:rFonts w:hint="eastAsia"/>
          <w:color w:val="auto"/>
        </w:rPr>
        <w:t>任务的具体内容，请以现场公布为准。</w:t>
      </w:r>
    </w:p>
    <w:p>
      <w:pPr>
        <w:pStyle w:val="33"/>
        <w:spacing w:line="420" w:lineRule="exact"/>
      </w:pPr>
      <w:bookmarkStart w:id="9" w:name="_Toc146613846"/>
      <w:r>
        <w:rPr>
          <w:rFonts w:hint="eastAsia"/>
        </w:rPr>
        <w:t>单场比赛流程</w:t>
      </w:r>
      <w:bookmarkEnd w:id="9"/>
    </w:p>
    <w:p>
      <w:pPr>
        <w:pStyle w:val="30"/>
        <w:rPr>
          <w:lang w:val="en-GB"/>
        </w:rPr>
      </w:pPr>
      <w:r>
        <w:drawing>
          <wp:anchor distT="0" distB="0" distL="114300" distR="114300" simplePos="0" relativeHeight="251676672" behindDoc="0" locked="0" layoutInCell="1" allowOverlap="1">
            <wp:simplePos x="0" y="0"/>
            <wp:positionH relativeFrom="margin">
              <wp:align>center</wp:align>
            </wp:positionH>
            <wp:positionV relativeFrom="paragraph">
              <wp:posOffset>384810</wp:posOffset>
            </wp:positionV>
            <wp:extent cx="6513830" cy="448310"/>
            <wp:effectExtent l="0" t="0" r="1905" b="8890"/>
            <wp:wrapTopAndBottom/>
            <wp:docPr id="5" name="Drawing 1"/>
            <wp:cNvGraphicFramePr/>
            <a:graphic xmlns:a="http://schemas.openxmlformats.org/drawingml/2006/main">
              <a:graphicData uri="http://schemas.openxmlformats.org/drawingml/2006/picture">
                <pic:pic xmlns:pic="http://schemas.openxmlformats.org/drawingml/2006/picture">
                  <pic:nvPicPr>
                    <pic:cNvPr id="5" name="Drawing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13716" cy="448408"/>
                    </a:xfrm>
                    <a:prstGeom prst="rect">
                      <a:avLst/>
                    </a:prstGeom>
                  </pic:spPr>
                </pic:pic>
              </a:graphicData>
            </a:graphic>
          </wp:anchor>
        </w:drawing>
      </w:r>
      <w:r>
        <w:rPr>
          <w:rFonts w:hint="eastAsia"/>
          <w:lang w:val="en-GB"/>
        </w:rPr>
        <w:t>比赛时间共计</w:t>
      </w:r>
      <w:r>
        <w:rPr>
          <w:lang w:val="en-GB"/>
        </w:rPr>
        <w:t xml:space="preserve"> 150秒</w:t>
      </w:r>
      <w:r>
        <w:rPr>
          <w:rFonts w:hint="eastAsia"/>
          <w:lang w:val="en-GB"/>
        </w:rPr>
        <w:t>，</w:t>
      </w:r>
      <w:r>
        <w:rPr>
          <w:lang w:val="en-GB"/>
        </w:rPr>
        <w:t>比赛阶段如下：</w:t>
      </w:r>
    </w:p>
    <w:p>
      <w:pPr>
        <w:pStyle w:val="63"/>
      </w:pPr>
      <w:r>
        <w:rPr>
          <w:rFonts w:hint="eastAsia"/>
        </w:rPr>
        <w:t>赛前检录</w:t>
      </w:r>
    </w:p>
    <w:p>
      <w:pPr>
        <w:pStyle w:val="30"/>
        <w:rPr>
          <w:lang w:val="en-GB"/>
        </w:rPr>
      </w:pPr>
      <w:r>
        <w:rPr>
          <w:rFonts w:hint="eastAsia"/>
          <w:lang w:val="en-GB"/>
        </w:rPr>
        <w:t>单场比赛开始前，参赛战队需进行机器人检录，裁判将按照机器人制作规范进行检录，检录通过，即可进行比赛；如检录未通过，单场比赛成绩为零，参赛选手需回到搭建区进行调整。</w:t>
      </w:r>
    </w:p>
    <w:p>
      <w:pPr>
        <w:pStyle w:val="63"/>
      </w:pPr>
      <w:r>
        <w:rPr>
          <w:rFonts w:hint="eastAsia"/>
        </w:rPr>
        <w:t>赛前准备</w:t>
      </w:r>
    </w:p>
    <w:p>
      <w:pPr>
        <w:pStyle w:val="30"/>
        <w:rPr>
          <w:lang w:val="en-GB"/>
        </w:rPr>
      </w:pPr>
      <w:r>
        <w:rPr>
          <w:rFonts w:hint="eastAsia"/>
          <w:lang w:val="en-GB"/>
        </w:rPr>
        <w:t>单场比赛开始前，参赛战队抵达场地并做好以下准备：</w:t>
      </w:r>
    </w:p>
    <w:p>
      <w:pPr>
        <w:pStyle w:val="30"/>
        <w:rPr>
          <w:lang w:val="en-GB"/>
        </w:rPr>
      </w:pPr>
      <w:r>
        <w:rPr>
          <w:rFonts w:hint="eastAsia"/>
          <w:lang w:val="en-GB"/>
        </w:rPr>
        <w:t>（1）</w:t>
      </w:r>
      <w:r>
        <w:rPr>
          <w:lang w:val="en-GB"/>
        </w:rPr>
        <w:t>将机器人电源保持开启状态，完全放在</w:t>
      </w:r>
      <w:r>
        <w:rPr>
          <w:rFonts w:hint="eastAsia"/>
          <w:lang w:val="en-GB"/>
        </w:rPr>
        <w:t>起始</w:t>
      </w:r>
      <w:r>
        <w:rPr>
          <w:lang w:val="en-GB"/>
        </w:rPr>
        <w:t>区内，</w:t>
      </w:r>
      <w:r>
        <w:rPr>
          <w:rFonts w:hint="eastAsia"/>
          <w:lang w:val="en-GB"/>
        </w:rPr>
        <w:t>如需使用</w:t>
      </w:r>
      <w:r>
        <w:rPr>
          <w:lang w:val="en-GB"/>
        </w:rPr>
        <w:t>蓝牙手柄</w:t>
      </w:r>
      <w:r>
        <w:rPr>
          <w:rFonts w:hint="eastAsia"/>
          <w:lang w:val="en-GB"/>
        </w:rPr>
        <w:t>，蓝牙手柄需</w:t>
      </w:r>
      <w:r>
        <w:rPr>
          <w:lang w:val="en-GB"/>
        </w:rPr>
        <w:t>保持开启状态，</w:t>
      </w:r>
      <w:r>
        <w:rPr>
          <w:rFonts w:hint="eastAsia"/>
          <w:lang w:val="en-GB"/>
        </w:rPr>
        <w:t>放在起始区场地边框外</w:t>
      </w:r>
      <w:r>
        <w:rPr>
          <w:lang w:val="en-GB"/>
        </w:rPr>
        <w:t>；</w:t>
      </w:r>
    </w:p>
    <w:p>
      <w:pPr>
        <w:pStyle w:val="30"/>
        <w:rPr>
          <w:lang w:val="en-GB"/>
        </w:rPr>
      </w:pPr>
      <w:r>
        <w:rPr>
          <w:rFonts w:hint="eastAsia"/>
          <w:lang w:val="en-GB"/>
        </w:rPr>
        <w:t>（2）</w:t>
      </w:r>
      <w:r>
        <w:rPr>
          <w:lang w:val="en-GB"/>
        </w:rPr>
        <w:t>检查场地和道具摆放是否规范</w:t>
      </w:r>
      <w:r>
        <w:rPr>
          <w:rFonts w:hint="eastAsia"/>
          <w:lang w:val="en-GB"/>
        </w:rPr>
        <w:t>；</w:t>
      </w:r>
    </w:p>
    <w:p>
      <w:pPr>
        <w:pStyle w:val="30"/>
        <w:rPr>
          <w:lang w:val="en-GB"/>
        </w:rPr>
      </w:pPr>
      <w:r>
        <w:rPr>
          <w:rFonts w:hint="eastAsia"/>
          <w:lang w:val="en-GB"/>
        </w:rPr>
        <w:t>（3）</w:t>
      </w:r>
      <w:r>
        <w:rPr>
          <w:lang w:val="en-GB"/>
        </w:rPr>
        <w:t>等待裁判指令。</w:t>
      </w:r>
    </w:p>
    <w:p>
      <w:pPr>
        <w:pStyle w:val="63"/>
      </w:pPr>
      <w:r>
        <w:rPr>
          <w:rFonts w:hint="eastAsia"/>
        </w:rPr>
        <w:t>比赛开始</w:t>
      </w:r>
    </w:p>
    <w:p>
      <w:pPr>
        <w:pStyle w:val="30"/>
        <w:rPr>
          <w:lang w:val="en-GB"/>
        </w:rPr>
      </w:pPr>
      <w:r>
        <w:rPr>
          <w:rFonts w:hint="eastAsia"/>
          <w:lang w:val="en-GB"/>
        </w:rPr>
        <w:t>裁判倒计时</w:t>
      </w:r>
      <w:r>
        <w:rPr>
          <w:lang w:val="en-GB"/>
        </w:rPr>
        <w:t>5秒后，</w:t>
      </w:r>
      <w:r>
        <w:rPr>
          <w:rFonts w:hint="eastAsia"/>
          <w:lang w:val="en-GB"/>
        </w:rPr>
        <w:t>比赛</w:t>
      </w:r>
      <w:r>
        <w:rPr>
          <w:lang w:val="en-GB"/>
        </w:rPr>
        <w:t>计时开始：</w:t>
      </w:r>
    </w:p>
    <w:p>
      <w:pPr>
        <w:pStyle w:val="30"/>
        <w:rPr>
          <w:lang w:val="en-GB"/>
        </w:rPr>
      </w:pPr>
      <w:r>
        <w:rPr>
          <w:rFonts w:hint="eastAsia"/>
          <w:lang w:val="en-GB"/>
        </w:rPr>
        <w:t>（1）</w:t>
      </w:r>
      <w:r>
        <w:rPr>
          <w:lang w:val="en-GB"/>
        </w:rPr>
        <w:t>机器人完成相应的任务，</w:t>
      </w:r>
      <w:r>
        <w:rPr>
          <w:rFonts w:hint="eastAsia"/>
          <w:lang w:val="en-GB"/>
        </w:rPr>
        <w:t>比赛</w:t>
      </w:r>
      <w:r>
        <w:rPr>
          <w:lang w:val="en-GB"/>
        </w:rPr>
        <w:t>期间</w:t>
      </w:r>
      <w:r>
        <w:rPr>
          <w:rFonts w:hint="eastAsia"/>
          <w:lang w:val="en-GB"/>
        </w:rPr>
        <w:t>参赛</w:t>
      </w:r>
      <w:r>
        <w:rPr>
          <w:lang w:val="en-GB"/>
        </w:rPr>
        <w:t>选手</w:t>
      </w:r>
      <w:r>
        <w:rPr>
          <w:rFonts w:hint="eastAsia"/>
          <w:lang w:val="en-GB"/>
        </w:rPr>
        <w:t>无重启或改装机会。</w:t>
      </w:r>
    </w:p>
    <w:p>
      <w:pPr>
        <w:pStyle w:val="30"/>
        <w:rPr>
          <w:lang w:val="en-GB"/>
        </w:rPr>
      </w:pPr>
      <w:r>
        <w:rPr>
          <w:rFonts w:hint="eastAsia"/>
          <w:lang w:val="en-GB"/>
        </w:rPr>
        <w:t>（</w:t>
      </w:r>
      <w:r>
        <w:rPr>
          <w:lang w:val="en-GB"/>
        </w:rPr>
        <w:t>2</w:t>
      </w:r>
      <w:r>
        <w:rPr>
          <w:rFonts w:hint="eastAsia"/>
          <w:lang w:val="en-GB"/>
        </w:rPr>
        <w:t>）</w:t>
      </w:r>
      <w:r>
        <w:rPr>
          <w:lang w:val="en-GB"/>
        </w:rPr>
        <w:t>若</w:t>
      </w:r>
      <w:r>
        <w:rPr>
          <w:rFonts w:hint="eastAsia"/>
          <w:lang w:val="en-GB"/>
        </w:rPr>
        <w:t>战队</w:t>
      </w:r>
      <w:r>
        <w:rPr>
          <w:lang w:val="en-GB"/>
        </w:rPr>
        <w:t>在150</w:t>
      </w:r>
      <w:r>
        <w:rPr>
          <w:rFonts w:hint="eastAsia"/>
          <w:lang w:val="en-GB"/>
        </w:rPr>
        <w:t>秒</w:t>
      </w:r>
      <w:r>
        <w:rPr>
          <w:lang w:val="en-GB"/>
        </w:rPr>
        <w:t>比赛</w:t>
      </w:r>
      <w:r>
        <w:rPr>
          <w:rFonts w:hint="eastAsia"/>
          <w:lang w:val="en-GB"/>
        </w:rPr>
        <w:t>计时</w:t>
      </w:r>
      <w:r>
        <w:rPr>
          <w:lang w:val="en-GB"/>
        </w:rPr>
        <w:t>未结束前，向裁判申请结束比赛，裁判许可后发出“比赛结束”指令并停止计时，则比赛提前结束；或</w:t>
      </w:r>
      <w:r>
        <w:rPr>
          <w:rFonts w:hint="eastAsia"/>
          <w:lang w:val="en-GB"/>
        </w:rPr>
        <w:t>在1</w:t>
      </w:r>
      <w:r>
        <w:rPr>
          <w:lang w:val="en-GB"/>
        </w:rPr>
        <w:t>50</w:t>
      </w:r>
      <w:r>
        <w:rPr>
          <w:rFonts w:hint="eastAsia"/>
          <w:lang w:val="en-GB"/>
        </w:rPr>
        <w:t>秒</w:t>
      </w:r>
      <w:r>
        <w:rPr>
          <w:lang w:val="en-GB"/>
        </w:rPr>
        <w:t>的比赛时间用完时，裁判将主动发出“比赛结束”指令，比赛结束。</w:t>
      </w:r>
    </w:p>
    <w:p>
      <w:pPr>
        <w:pStyle w:val="30"/>
        <w:rPr>
          <w:lang w:val="en-GB"/>
        </w:rPr>
      </w:pPr>
      <w:r>
        <w:rPr>
          <w:rFonts w:hint="eastAsia"/>
          <w:lang w:val="en-GB"/>
        </w:rPr>
        <w:t>除安全问题外，参赛选手不得向裁判申请暂停比赛。</w:t>
      </w:r>
    </w:p>
    <w:p>
      <w:pPr>
        <w:pStyle w:val="63"/>
      </w:pPr>
      <w:r>
        <w:rPr>
          <w:rFonts w:hint="eastAsia"/>
        </w:rPr>
        <w:t>裁判计分及参赛选手签字确认</w:t>
      </w:r>
    </w:p>
    <w:p>
      <w:pPr>
        <w:pStyle w:val="30"/>
        <w:rPr>
          <w:lang w:val="en-GB"/>
        </w:rPr>
      </w:pPr>
      <w:r>
        <w:rPr>
          <w:rFonts w:hint="eastAsia"/>
          <w:lang w:val="en-GB"/>
        </w:rPr>
        <w:t>比赛结束后，裁判会进行得分统计。如对比赛无异议，参赛战队必须在成绩单上签字确认比赛结果。如对比赛结果存在异议，参赛战队无需签字，应在未签字确认成绩的前提下，立刻向当值裁判提出异议，积极沟通。</w:t>
      </w:r>
    </w:p>
    <w:p>
      <w:pPr>
        <w:pStyle w:val="30"/>
      </w:pPr>
      <w:bookmarkStart w:id="10" w:name="_Hlk80289722"/>
      <w:r>
        <w:rPr>
          <w:rFonts w:hint="eastAsia"/>
          <w:lang w:val="en-GB"/>
        </w:rPr>
        <w:t>签字确认后，参赛战队应主动协助裁判复原场地道具，并携带机器人和手柄有序离场。</w:t>
      </w:r>
    </w:p>
    <w:bookmarkEnd w:id="10"/>
    <w:p>
      <w:pPr>
        <w:pStyle w:val="36"/>
        <w:spacing w:line="240" w:lineRule="auto"/>
      </w:pPr>
      <w:bookmarkStart w:id="11" w:name="_Toc146613847"/>
      <w:r>
        <w:rPr>
          <w:rFonts w:hint="eastAsia"/>
        </w:rPr>
        <w:t>机器人制作规范</w:t>
      </w:r>
      <w:bookmarkEnd w:id="11"/>
    </w:p>
    <w:p>
      <w:pPr>
        <w:pStyle w:val="30"/>
        <w:rPr>
          <w:lang w:val="en-GB"/>
        </w:rPr>
      </w:pPr>
      <w:r>
        <w:rPr>
          <w:rFonts w:hint="eastAsia"/>
          <w:lang w:val="en-GB"/>
        </w:rPr>
        <w:t>机器人制作规范是指导各参赛战队更好的参赛备赛、公平公正且安全的竞赛标准规范。鼓励各参赛战队在充分阅读、理解该规范的前提下进行机器人的编程搭建。所有参赛战队的机器人必须严格遵守该制作规范，凡违背该规范要求的机器人将被要求整改，情节严重者将被判罚取消比赛成绩或取消比赛资格。</w:t>
      </w:r>
    </w:p>
    <w:p>
      <w:pPr>
        <w:pStyle w:val="63"/>
      </w:pPr>
      <w:r>
        <w:rPr>
          <w:rFonts w:hint="eastAsia"/>
        </w:rPr>
        <w:t>机器人机械规范</w:t>
      </w:r>
    </w:p>
    <w:p>
      <w:pPr>
        <w:pStyle w:val="48"/>
        <w:ind w:firstLine="480"/>
      </w:pPr>
      <w:r>
        <w:rPr>
          <w:rStyle w:val="64"/>
        </w:rPr>
        <w:t>每支参赛战队仅可使用同一台机器人进行赛前检录，检录通过后，该战队仅可使用通过检录的机器人进行比赛，严禁战队更换机器人，严禁战队使用未通过检录的机器人</w:t>
      </w:r>
      <w:r>
        <w:t>。</w:t>
      </w:r>
    </w:p>
    <w:p>
      <w:pPr>
        <w:pStyle w:val="48"/>
        <w:ind w:firstLine="480"/>
      </w:pPr>
      <w:r>
        <w:rPr>
          <w:rFonts w:hint="eastAsia"/>
        </w:rPr>
        <w:t>单</w:t>
      </w:r>
      <w:r>
        <w:t>场比赛过程中，机器人的长、宽</w:t>
      </w:r>
      <w:r>
        <w:rPr>
          <w:rFonts w:hint="eastAsia"/>
        </w:rPr>
        <w:t>、高</w:t>
      </w:r>
      <w:r>
        <w:t>不得超过 250mm*200</w:t>
      </w:r>
      <w:r>
        <w:rPr>
          <w:rFonts w:hint="eastAsia"/>
        </w:rPr>
        <w:t>mm</w:t>
      </w:r>
      <w:r>
        <w:t>*200</w:t>
      </w:r>
      <w:r>
        <w:rPr>
          <w:rFonts w:hint="eastAsia"/>
        </w:rPr>
        <w:t>mm</w:t>
      </w:r>
      <w:r>
        <w:t>。</w:t>
      </w:r>
      <w:r>
        <w:rPr>
          <w:rFonts w:hint="eastAsia"/>
        </w:rPr>
        <w:t>机器人使用车轮（包括橡胶胎皮）直径不得超过</w:t>
      </w:r>
      <w:r>
        <w:t>70</w:t>
      </w:r>
      <w:r>
        <w:rPr>
          <w:rFonts w:hint="eastAsia"/>
        </w:rPr>
        <w:t>mm。</w:t>
      </w:r>
    </w:p>
    <w:p>
      <w:pPr>
        <w:pStyle w:val="48"/>
        <w:numPr>
          <w:ilvl w:val="0"/>
          <w:numId w:val="0"/>
        </w:numPr>
        <w:ind w:left="1260"/>
      </w:pPr>
      <w:r>
        <w:t>a.机器人尺寸以最大</w:t>
      </w:r>
      <w:r>
        <w:rPr>
          <w:rFonts w:hint="eastAsia"/>
        </w:rPr>
        <w:t>延展</w:t>
      </w:r>
      <w:r>
        <w:t>尺寸为准，检录时需展开所有活动结构至最大尺寸状态。</w:t>
      </w:r>
    </w:p>
    <w:p>
      <w:pPr>
        <w:pStyle w:val="48"/>
        <w:numPr>
          <w:ilvl w:val="0"/>
          <w:numId w:val="0"/>
        </w:numPr>
        <w:ind w:left="1260"/>
      </w:pPr>
      <w:r>
        <w:t>b.机器人完全展开后，任意部分不得超出长250mm*宽200mm*高200mm的立方体。</w:t>
      </w:r>
    </w:p>
    <w:p>
      <w:pPr>
        <w:pStyle w:val="30"/>
        <w:spacing w:after="156" w:afterLines="50"/>
        <w:ind w:firstLine="0"/>
        <w:jc w:val="center"/>
        <w:rPr>
          <w:bCs/>
        </w:rPr>
      </w:pPr>
      <w:r>
        <w:rPr>
          <w:rFonts w:hint="eastAsia"/>
          <w:b/>
          <w:color w:val="auto"/>
        </w:rPr>
        <w:drawing>
          <wp:anchor distT="0" distB="0" distL="114300" distR="114300" simplePos="0" relativeHeight="251667456" behindDoc="0" locked="0" layoutInCell="1" allowOverlap="1">
            <wp:simplePos x="0" y="0"/>
            <wp:positionH relativeFrom="margin">
              <wp:align>center</wp:align>
            </wp:positionH>
            <wp:positionV relativeFrom="paragraph">
              <wp:posOffset>3152775</wp:posOffset>
            </wp:positionV>
            <wp:extent cx="3762375" cy="2038985"/>
            <wp:effectExtent l="0" t="0" r="0" b="0"/>
            <wp:wrapTopAndBottom/>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762375" cy="2039177"/>
                    </a:xfrm>
                    <a:prstGeom prst="rect">
                      <a:avLst/>
                    </a:prstGeom>
                  </pic:spPr>
                </pic:pic>
              </a:graphicData>
            </a:graphic>
          </wp:anchor>
        </w:drawing>
      </w:r>
      <w:r>
        <w:rPr>
          <w:bCs/>
        </w:rPr>
        <w:drawing>
          <wp:anchor distT="0" distB="0" distL="114300" distR="114300" simplePos="0" relativeHeight="251666432" behindDoc="0" locked="0" layoutInCell="1" allowOverlap="1">
            <wp:simplePos x="0" y="0"/>
            <wp:positionH relativeFrom="margin">
              <wp:align>center</wp:align>
            </wp:positionH>
            <wp:positionV relativeFrom="paragraph">
              <wp:posOffset>104775</wp:posOffset>
            </wp:positionV>
            <wp:extent cx="3162300" cy="2652395"/>
            <wp:effectExtent l="0" t="0" r="0" b="0"/>
            <wp:wrapTopAndBottom/>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162300" cy="2652749"/>
                    </a:xfrm>
                    <a:prstGeom prst="rect">
                      <a:avLst/>
                    </a:prstGeom>
                  </pic:spPr>
                </pic:pic>
              </a:graphicData>
            </a:graphic>
          </wp:anchor>
        </w:drawing>
      </w:r>
      <w:r>
        <w:rPr>
          <w:rFonts w:hint="eastAsia"/>
          <w:bCs/>
        </w:rPr>
        <w:t>图</w:t>
      </w:r>
      <w:r>
        <w:rPr>
          <w:bCs/>
        </w:rPr>
        <w:t>5.1-1</w:t>
      </w:r>
      <w:r>
        <w:rPr>
          <w:rFonts w:hint="eastAsia"/>
          <w:bCs/>
        </w:rPr>
        <w:t>最大延伸尺寸俯视图</w:t>
      </w:r>
    </w:p>
    <w:p>
      <w:pPr>
        <w:pStyle w:val="30"/>
        <w:spacing w:after="156" w:afterLines="50"/>
        <w:ind w:firstLine="0"/>
        <w:jc w:val="center"/>
        <w:rPr>
          <w:bCs/>
        </w:rPr>
      </w:pPr>
      <w:r>
        <w:rPr>
          <w:rFonts w:hint="eastAsia"/>
          <w:bCs/>
        </w:rPr>
        <w:t>图</w:t>
      </w:r>
      <w:r>
        <w:rPr>
          <w:bCs/>
        </w:rPr>
        <w:t>5.1-2</w:t>
      </w:r>
      <w:r>
        <w:rPr>
          <w:rFonts w:hint="eastAsia"/>
          <w:bCs/>
        </w:rPr>
        <w:t>最大延伸尺寸侧视图</w:t>
      </w:r>
    </w:p>
    <w:p>
      <w:pPr>
        <w:pStyle w:val="30"/>
        <w:spacing w:after="156" w:afterLines="50"/>
        <w:ind w:firstLine="0"/>
        <w:jc w:val="center"/>
        <w:rPr>
          <w:bCs/>
        </w:rPr>
      </w:pPr>
      <w:r>
        <w:rPr>
          <w:bCs/>
        </w:rPr>
        <w:drawing>
          <wp:anchor distT="0" distB="0" distL="114300" distR="114300" simplePos="0" relativeHeight="251668480" behindDoc="0" locked="0" layoutInCell="1" allowOverlap="1">
            <wp:simplePos x="0" y="0"/>
            <wp:positionH relativeFrom="margin">
              <wp:posOffset>1679575</wp:posOffset>
            </wp:positionH>
            <wp:positionV relativeFrom="paragraph">
              <wp:posOffset>82550</wp:posOffset>
            </wp:positionV>
            <wp:extent cx="2049145" cy="1842770"/>
            <wp:effectExtent l="0" t="0" r="0" b="0"/>
            <wp:wrapTopAndBottom/>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2049145" cy="1842801"/>
                    </a:xfrm>
                    <a:prstGeom prst="rect">
                      <a:avLst/>
                    </a:prstGeom>
                    <a:noFill/>
                    <a:ln>
                      <a:noFill/>
                    </a:ln>
                  </pic:spPr>
                </pic:pic>
              </a:graphicData>
            </a:graphic>
          </wp:anchor>
        </w:drawing>
      </w:r>
      <w:r>
        <w:rPr>
          <w:rFonts w:hint="eastAsia"/>
          <w:bCs/>
        </w:rPr>
        <w:t>图</w:t>
      </w:r>
      <w:r>
        <w:rPr>
          <w:bCs/>
        </w:rPr>
        <w:t>5.1-3</w:t>
      </w:r>
      <w:r>
        <w:rPr>
          <w:rFonts w:hint="eastAsia"/>
          <w:bCs/>
        </w:rPr>
        <w:t>车轮尺寸示意图</w:t>
      </w:r>
    </w:p>
    <w:p>
      <w:pPr>
        <w:pStyle w:val="48"/>
        <w:ind w:firstLine="480"/>
      </w:pPr>
      <w:r>
        <w:rPr>
          <w:rFonts w:hint="eastAsia"/>
        </w:rPr>
        <w:t>单场</w:t>
      </w:r>
      <w:r>
        <w:t>比赛过程中，机器人最大净重量不超过2kg</w:t>
      </w:r>
      <w:r>
        <w:rPr>
          <w:rFonts w:hint="eastAsia"/>
        </w:rPr>
        <w:t>，包含电池</w:t>
      </w:r>
      <w:r>
        <w:t>。</w:t>
      </w:r>
    </w:p>
    <w:p>
      <w:pPr>
        <w:pStyle w:val="48"/>
        <w:ind w:firstLine="480"/>
      </w:pPr>
      <w:r>
        <w:t>参赛战队可自行制作机械零件，可以使用3D打印，激光切割等零件，不允许使用高集成度的完整商业产品，包括但不限于多自由度机械臂或机械手等。</w:t>
      </w:r>
    </w:p>
    <w:p>
      <w:pPr>
        <w:pStyle w:val="63"/>
      </w:pPr>
      <w:r>
        <w:rPr>
          <w:rFonts w:hint="eastAsia"/>
        </w:rPr>
        <w:t>机器人电子技术规范</w:t>
      </w:r>
    </w:p>
    <w:p>
      <w:pPr>
        <w:pStyle w:val="48"/>
        <w:spacing w:after="156" w:afterLines="50"/>
        <w:ind w:firstLine="480"/>
        <w:rPr>
          <w:b/>
        </w:rPr>
      </w:pPr>
      <w:r>
        <w:t>为确保比赛的公平性，防止战队使用部分高性能设备破坏比赛公平性，战队使用的器材性能不得超过以下指标：</w:t>
      </w:r>
    </w:p>
    <w:tbl>
      <w:tblPr>
        <w:tblStyle w:val="17"/>
        <w:tblW w:w="0" w:type="auto"/>
        <w:tblInd w:w="1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 w:type="dxa"/>
          <w:bottom w:w="0" w:type="dxa"/>
          <w:right w:w="10" w:type="dxa"/>
        </w:tblCellMar>
      </w:tblPr>
      <w:tblGrid>
        <w:gridCol w:w="1191"/>
        <w:gridCol w:w="1772"/>
        <w:gridCol w:w="3139"/>
        <w:gridCol w:w="2220"/>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 w:type="dxa"/>
            <w:bottom w:w="0" w:type="dxa"/>
            <w:right w:w="10" w:type="dxa"/>
          </w:tblCellMar>
        </w:tblPrEx>
        <w:trPr>
          <w:trHeight w:val="500" w:hRule="atLeast"/>
        </w:trPr>
        <w:tc>
          <w:tcPr>
            <w:tcW w:w="1266" w:type="dxa"/>
            <w:vAlign w:val="center"/>
          </w:tcPr>
          <w:p>
            <w:pPr>
              <w:pStyle w:val="30"/>
              <w:ind w:firstLine="0"/>
              <w:jc w:val="center"/>
              <w:rPr>
                <w:b/>
                <w:bCs/>
                <w:color w:val="auto"/>
                <w:sz w:val="20"/>
                <w:szCs w:val="20"/>
              </w:rPr>
            </w:pPr>
            <w:r>
              <w:rPr>
                <w:b/>
                <w:bCs/>
                <w:color w:val="auto"/>
                <w:sz w:val="20"/>
                <w:szCs w:val="20"/>
              </w:rPr>
              <w:t>设备类型</w:t>
            </w:r>
          </w:p>
        </w:tc>
        <w:tc>
          <w:tcPr>
            <w:tcW w:w="1418" w:type="dxa"/>
            <w:vAlign w:val="center"/>
          </w:tcPr>
          <w:p>
            <w:pPr>
              <w:pStyle w:val="30"/>
              <w:ind w:firstLine="0"/>
              <w:jc w:val="center"/>
              <w:rPr>
                <w:b/>
                <w:bCs/>
                <w:color w:val="auto"/>
                <w:sz w:val="20"/>
                <w:szCs w:val="20"/>
              </w:rPr>
            </w:pPr>
            <w:r>
              <w:rPr>
                <w:b/>
                <w:bCs/>
                <w:color w:val="auto"/>
                <w:sz w:val="20"/>
                <w:szCs w:val="20"/>
              </w:rPr>
              <w:t>部件名称</w:t>
            </w:r>
          </w:p>
        </w:tc>
        <w:tc>
          <w:tcPr>
            <w:tcW w:w="3260" w:type="dxa"/>
            <w:vAlign w:val="center"/>
          </w:tcPr>
          <w:p>
            <w:pPr>
              <w:pStyle w:val="30"/>
              <w:ind w:firstLine="0"/>
              <w:jc w:val="center"/>
              <w:rPr>
                <w:b/>
                <w:bCs/>
                <w:color w:val="auto"/>
                <w:sz w:val="20"/>
                <w:szCs w:val="20"/>
              </w:rPr>
            </w:pPr>
            <w:r>
              <w:rPr>
                <w:b/>
                <w:bCs/>
                <w:color w:val="auto"/>
                <w:sz w:val="20"/>
                <w:szCs w:val="20"/>
              </w:rPr>
              <w:t>规格</w:t>
            </w:r>
          </w:p>
        </w:tc>
        <w:tc>
          <w:tcPr>
            <w:tcW w:w="2358" w:type="dxa"/>
            <w:vAlign w:val="center"/>
          </w:tcPr>
          <w:p>
            <w:pPr>
              <w:pStyle w:val="30"/>
              <w:ind w:firstLine="0"/>
              <w:jc w:val="center"/>
              <w:rPr>
                <w:b/>
                <w:bCs/>
                <w:color w:val="auto"/>
                <w:sz w:val="20"/>
                <w:szCs w:val="20"/>
              </w:rPr>
            </w:pPr>
            <w:r>
              <w:rPr>
                <w:b/>
                <w:bCs/>
                <w:color w:val="auto"/>
                <w:sz w:val="20"/>
                <w:szCs w:val="20"/>
              </w:rPr>
              <w:t>备注</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 w:type="dxa"/>
            <w:bottom w:w="0" w:type="dxa"/>
            <w:right w:w="10" w:type="dxa"/>
          </w:tblCellMar>
        </w:tblPrEx>
        <w:trPr>
          <w:trHeight w:val="500" w:hRule="atLeast"/>
        </w:trPr>
        <w:tc>
          <w:tcPr>
            <w:tcW w:w="1266" w:type="dxa"/>
            <w:vAlign w:val="center"/>
          </w:tcPr>
          <w:p>
            <w:pPr>
              <w:pStyle w:val="30"/>
              <w:ind w:firstLine="0"/>
              <w:jc w:val="center"/>
              <w:rPr>
                <w:b/>
                <w:bCs/>
                <w:color w:val="auto"/>
                <w:sz w:val="20"/>
                <w:szCs w:val="20"/>
              </w:rPr>
            </w:pPr>
            <w:r>
              <w:rPr>
                <w:b/>
                <w:bCs/>
                <w:color w:val="auto"/>
                <w:sz w:val="20"/>
                <w:szCs w:val="20"/>
              </w:rPr>
              <w:t>主控&amp;扩展板</w:t>
            </w:r>
          </w:p>
        </w:tc>
        <w:tc>
          <w:tcPr>
            <w:tcW w:w="1418" w:type="dxa"/>
            <w:vAlign w:val="center"/>
          </w:tcPr>
          <w:p>
            <w:pPr>
              <w:pStyle w:val="30"/>
              <w:ind w:firstLine="0"/>
              <w:jc w:val="center"/>
              <w:rPr>
                <w:color w:val="auto"/>
                <w:sz w:val="20"/>
                <w:szCs w:val="20"/>
              </w:rPr>
            </w:pPr>
            <w:r>
              <w:rPr>
                <w:color w:val="auto"/>
                <w:sz w:val="20"/>
                <w:szCs w:val="20"/>
              </w:rPr>
              <w:t>ESP32-WROVER-B</w:t>
            </w:r>
          </w:p>
        </w:tc>
        <w:tc>
          <w:tcPr>
            <w:tcW w:w="3260" w:type="dxa"/>
            <w:vAlign w:val="center"/>
          </w:tcPr>
          <w:p>
            <w:pPr>
              <w:pStyle w:val="30"/>
              <w:ind w:firstLine="0"/>
              <w:rPr>
                <w:color w:val="auto"/>
                <w:sz w:val="20"/>
                <w:szCs w:val="20"/>
              </w:rPr>
            </w:pPr>
            <w:r>
              <w:rPr>
                <w:color w:val="auto"/>
                <w:sz w:val="20"/>
                <w:szCs w:val="20"/>
              </w:rPr>
              <w:t>处理器：Xtensa® 32-bit LX6 双核处理器</w:t>
            </w:r>
          </w:p>
          <w:p>
            <w:pPr>
              <w:pStyle w:val="30"/>
              <w:ind w:firstLine="0"/>
              <w:rPr>
                <w:color w:val="auto"/>
                <w:sz w:val="20"/>
                <w:szCs w:val="20"/>
              </w:rPr>
            </w:pPr>
            <w:r>
              <w:rPr>
                <w:color w:val="auto"/>
                <w:sz w:val="20"/>
                <w:szCs w:val="20"/>
              </w:rPr>
              <w:t>通讯模式</w:t>
            </w:r>
            <w:r>
              <w:rPr>
                <w:rFonts w:hint="eastAsia"/>
                <w:color w:val="auto"/>
                <w:sz w:val="20"/>
                <w:szCs w:val="20"/>
              </w:rPr>
              <w:t>：无线通讯</w:t>
            </w:r>
          </w:p>
          <w:p>
            <w:pPr>
              <w:pStyle w:val="30"/>
              <w:ind w:firstLine="0"/>
              <w:rPr>
                <w:color w:val="auto"/>
                <w:sz w:val="20"/>
                <w:szCs w:val="20"/>
              </w:rPr>
            </w:pPr>
            <w:r>
              <w:rPr>
                <w:color w:val="auto"/>
                <w:sz w:val="20"/>
                <w:szCs w:val="20"/>
              </w:rPr>
              <w:t>串口通信：主控板对扩展板</w:t>
            </w:r>
          </w:p>
          <w:p>
            <w:pPr>
              <w:pStyle w:val="30"/>
              <w:ind w:firstLine="0"/>
              <w:rPr>
                <w:color w:val="auto"/>
                <w:sz w:val="20"/>
                <w:szCs w:val="20"/>
              </w:rPr>
            </w:pPr>
            <w:r>
              <w:rPr>
                <w:color w:val="auto"/>
                <w:sz w:val="20"/>
                <w:szCs w:val="20"/>
              </w:rPr>
              <w:t>数字信号：数字舵机接口</w:t>
            </w:r>
          </w:p>
          <w:p>
            <w:pPr>
              <w:pStyle w:val="30"/>
              <w:ind w:firstLine="0"/>
              <w:rPr>
                <w:color w:val="auto"/>
                <w:sz w:val="20"/>
                <w:szCs w:val="20"/>
              </w:rPr>
            </w:pPr>
            <w:r>
              <w:rPr>
                <w:color w:val="auto"/>
                <w:sz w:val="20"/>
                <w:szCs w:val="20"/>
              </w:rPr>
              <w:t>PWM：直流电机接口</w:t>
            </w:r>
          </w:p>
        </w:tc>
        <w:tc>
          <w:tcPr>
            <w:tcW w:w="2358" w:type="dxa"/>
            <w:vAlign w:val="center"/>
          </w:tcPr>
          <w:p>
            <w:pPr>
              <w:pStyle w:val="30"/>
              <w:ind w:firstLine="0"/>
              <w:jc w:val="center"/>
              <w:rPr>
                <w:color w:val="auto"/>
                <w:sz w:val="20"/>
                <w:szCs w:val="20"/>
              </w:rPr>
            </w:pPr>
            <w:r>
              <w:rPr>
                <w:rFonts w:hint="eastAsia"/>
                <w:color w:val="auto"/>
                <w:sz w:val="20"/>
                <w:szCs w:val="20"/>
              </w:rPr>
              <w:t>每支战队比赛全程仅可使用同1块主板</w:t>
            </w:r>
          </w:p>
          <w:p>
            <w:pPr>
              <w:pStyle w:val="30"/>
              <w:ind w:firstLine="0"/>
              <w:jc w:val="center"/>
              <w:rPr>
                <w:color w:val="auto"/>
                <w:sz w:val="20"/>
                <w:szCs w:val="20"/>
              </w:rPr>
            </w:pPr>
            <w:r>
              <w:rPr>
                <w:rFonts w:hint="eastAsia"/>
                <w:color w:val="auto"/>
                <w:sz w:val="20"/>
                <w:szCs w:val="20"/>
              </w:rPr>
              <w:t>如有特殊情况，需向裁判申请</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 w:type="dxa"/>
            <w:bottom w:w="0" w:type="dxa"/>
            <w:right w:w="10" w:type="dxa"/>
          </w:tblCellMar>
        </w:tblPrEx>
        <w:trPr>
          <w:trHeight w:val="500" w:hRule="atLeast"/>
        </w:trPr>
        <w:tc>
          <w:tcPr>
            <w:tcW w:w="1266" w:type="dxa"/>
            <w:vMerge w:val="restart"/>
            <w:vAlign w:val="center"/>
          </w:tcPr>
          <w:p>
            <w:pPr>
              <w:pStyle w:val="30"/>
              <w:ind w:firstLine="0"/>
              <w:jc w:val="center"/>
              <w:rPr>
                <w:b/>
                <w:bCs/>
                <w:color w:val="auto"/>
                <w:sz w:val="20"/>
                <w:szCs w:val="20"/>
              </w:rPr>
            </w:pPr>
            <w:r>
              <w:rPr>
                <w:b/>
                <w:bCs/>
                <w:color w:val="auto"/>
                <w:sz w:val="20"/>
                <w:szCs w:val="20"/>
              </w:rPr>
              <w:t>传感器</w:t>
            </w:r>
          </w:p>
        </w:tc>
        <w:tc>
          <w:tcPr>
            <w:tcW w:w="1418" w:type="dxa"/>
            <w:vAlign w:val="center"/>
          </w:tcPr>
          <w:p>
            <w:pPr>
              <w:pStyle w:val="30"/>
              <w:ind w:firstLine="0"/>
              <w:jc w:val="center"/>
              <w:rPr>
                <w:color w:val="auto"/>
                <w:sz w:val="20"/>
                <w:szCs w:val="20"/>
              </w:rPr>
            </w:pPr>
            <w:r>
              <w:rPr>
                <w:color w:val="auto"/>
                <w:sz w:val="20"/>
                <w:szCs w:val="20"/>
              </w:rPr>
              <w:t>视觉传感器</w:t>
            </w:r>
          </w:p>
        </w:tc>
        <w:tc>
          <w:tcPr>
            <w:tcW w:w="3260" w:type="dxa"/>
            <w:vAlign w:val="center"/>
          </w:tcPr>
          <w:p>
            <w:pPr>
              <w:pStyle w:val="30"/>
              <w:ind w:firstLine="0"/>
              <w:rPr>
                <w:color w:val="auto"/>
                <w:sz w:val="20"/>
                <w:szCs w:val="20"/>
              </w:rPr>
            </w:pPr>
            <w:r>
              <w:rPr>
                <w:color w:val="auto"/>
                <w:sz w:val="20"/>
                <w:szCs w:val="20"/>
              </w:rPr>
              <w:t>视场角：65.0度</w:t>
            </w:r>
          </w:p>
          <w:p>
            <w:pPr>
              <w:pStyle w:val="30"/>
              <w:ind w:firstLine="0"/>
              <w:rPr>
                <w:color w:val="auto"/>
                <w:sz w:val="20"/>
                <w:szCs w:val="20"/>
              </w:rPr>
            </w:pPr>
            <w:r>
              <w:rPr>
                <w:color w:val="auto"/>
                <w:sz w:val="20"/>
                <w:szCs w:val="20"/>
              </w:rPr>
              <w:t>有效焦距：4.65±5% mm</w:t>
            </w:r>
          </w:p>
          <w:p>
            <w:pPr>
              <w:pStyle w:val="30"/>
              <w:ind w:firstLine="0"/>
              <w:rPr>
                <w:color w:val="auto"/>
                <w:sz w:val="20"/>
                <w:szCs w:val="20"/>
              </w:rPr>
            </w:pPr>
            <w:r>
              <w:rPr>
                <w:color w:val="auto"/>
                <w:sz w:val="20"/>
                <w:szCs w:val="20"/>
              </w:rPr>
              <w:t>识别速度：60帧/s</w:t>
            </w:r>
          </w:p>
          <w:p>
            <w:pPr>
              <w:pStyle w:val="30"/>
              <w:ind w:firstLine="0"/>
              <w:rPr>
                <w:color w:val="auto"/>
                <w:sz w:val="20"/>
                <w:szCs w:val="20"/>
              </w:rPr>
            </w:pPr>
            <w:r>
              <w:rPr>
                <w:color w:val="auto"/>
                <w:sz w:val="20"/>
                <w:szCs w:val="20"/>
              </w:rPr>
              <w:t>识别距离：0.25-1.2m范围最佳</w:t>
            </w:r>
          </w:p>
          <w:p>
            <w:pPr>
              <w:pStyle w:val="30"/>
              <w:ind w:firstLine="0"/>
              <w:rPr>
                <w:color w:val="auto"/>
                <w:sz w:val="20"/>
                <w:szCs w:val="20"/>
              </w:rPr>
            </w:pPr>
            <w:r>
              <w:rPr>
                <w:color w:val="auto"/>
                <w:sz w:val="20"/>
                <w:szCs w:val="20"/>
              </w:rPr>
              <w:t xml:space="preserve">供电方式：3.7V锂电池或5V </w:t>
            </w:r>
            <w:r>
              <w:rPr>
                <w:rFonts w:hint="eastAsia"/>
                <w:color w:val="auto"/>
                <w:sz w:val="20"/>
                <w:szCs w:val="20"/>
              </w:rPr>
              <w:t>m</w:t>
            </w:r>
            <w:r>
              <w:rPr>
                <w:color w:val="auto"/>
                <w:sz w:val="20"/>
                <w:szCs w:val="20"/>
              </w:rPr>
              <w:t>Build电源模块</w:t>
            </w:r>
          </w:p>
          <w:p>
            <w:pPr>
              <w:pStyle w:val="30"/>
              <w:ind w:firstLine="0"/>
              <w:rPr>
                <w:color w:val="auto"/>
                <w:sz w:val="20"/>
                <w:szCs w:val="20"/>
              </w:rPr>
            </w:pPr>
            <w:r>
              <w:rPr>
                <w:color w:val="auto"/>
                <w:sz w:val="20"/>
                <w:szCs w:val="20"/>
              </w:rPr>
              <w:t>功耗范围：0.9-1.3W</w:t>
            </w:r>
          </w:p>
        </w:tc>
        <w:tc>
          <w:tcPr>
            <w:tcW w:w="2358" w:type="dxa"/>
            <w:vMerge w:val="restart"/>
            <w:vAlign w:val="center"/>
          </w:tcPr>
          <w:p>
            <w:pPr>
              <w:pStyle w:val="30"/>
              <w:ind w:firstLine="0"/>
              <w:jc w:val="center"/>
              <w:rPr>
                <w:color w:val="auto"/>
                <w:sz w:val="20"/>
                <w:szCs w:val="20"/>
              </w:rPr>
            </w:pPr>
            <w:r>
              <w:rPr>
                <w:color w:val="auto"/>
                <w:sz w:val="20"/>
                <w:szCs w:val="20"/>
              </w:rPr>
              <w:t>类型和数量不限</w:t>
            </w:r>
          </w:p>
          <w:p>
            <w:pPr>
              <w:pStyle w:val="30"/>
              <w:ind w:firstLine="0"/>
              <w:jc w:val="center"/>
              <w:rPr>
                <w:color w:val="auto"/>
                <w:sz w:val="20"/>
                <w:szCs w:val="20"/>
              </w:rPr>
            </w:pPr>
            <w:r>
              <w:rPr>
                <w:color w:val="auto"/>
                <w:sz w:val="20"/>
                <w:szCs w:val="20"/>
              </w:rPr>
              <w:t>机器人禁止使用任何可干扰到其它机器人感知能力的传感器</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 w:type="dxa"/>
            <w:bottom w:w="0" w:type="dxa"/>
            <w:right w:w="10" w:type="dxa"/>
          </w:tblCellMar>
        </w:tblPrEx>
        <w:trPr>
          <w:trHeight w:val="500" w:hRule="atLeast"/>
        </w:trPr>
        <w:tc>
          <w:tcPr>
            <w:tcW w:w="1266" w:type="dxa"/>
            <w:vMerge w:val="continue"/>
            <w:vAlign w:val="center"/>
          </w:tcPr>
          <w:p>
            <w:pPr>
              <w:pStyle w:val="30"/>
              <w:ind w:firstLine="0"/>
              <w:jc w:val="center"/>
              <w:rPr>
                <w:color w:val="auto"/>
                <w:sz w:val="20"/>
                <w:szCs w:val="20"/>
              </w:rPr>
            </w:pPr>
          </w:p>
        </w:tc>
        <w:tc>
          <w:tcPr>
            <w:tcW w:w="1418" w:type="dxa"/>
            <w:vAlign w:val="center"/>
          </w:tcPr>
          <w:p>
            <w:pPr>
              <w:pStyle w:val="30"/>
              <w:ind w:firstLine="0"/>
              <w:jc w:val="center"/>
              <w:rPr>
                <w:color w:val="auto"/>
                <w:sz w:val="20"/>
                <w:szCs w:val="20"/>
              </w:rPr>
            </w:pPr>
            <w:r>
              <w:rPr>
                <w:color w:val="auto"/>
                <w:sz w:val="20"/>
                <w:szCs w:val="20"/>
              </w:rPr>
              <w:t>超声波传感器</w:t>
            </w:r>
          </w:p>
        </w:tc>
        <w:tc>
          <w:tcPr>
            <w:tcW w:w="3260" w:type="dxa"/>
            <w:vAlign w:val="center"/>
          </w:tcPr>
          <w:p>
            <w:pPr>
              <w:pStyle w:val="30"/>
              <w:ind w:firstLine="0"/>
              <w:rPr>
                <w:color w:val="auto"/>
                <w:sz w:val="20"/>
                <w:szCs w:val="20"/>
              </w:rPr>
            </w:pPr>
            <w:r>
              <w:rPr>
                <w:color w:val="auto"/>
                <w:sz w:val="20"/>
                <w:szCs w:val="20"/>
              </w:rPr>
              <w:t>工作电压：DC 5V</w:t>
            </w:r>
          </w:p>
          <w:p>
            <w:pPr>
              <w:pStyle w:val="30"/>
              <w:ind w:firstLine="0"/>
              <w:rPr>
                <w:color w:val="auto"/>
                <w:sz w:val="20"/>
                <w:szCs w:val="20"/>
              </w:rPr>
            </w:pPr>
            <w:r>
              <w:rPr>
                <w:color w:val="auto"/>
                <w:sz w:val="20"/>
                <w:szCs w:val="20"/>
              </w:rPr>
              <w:t>读值范围：5-300cm</w:t>
            </w:r>
          </w:p>
          <w:p>
            <w:pPr>
              <w:pStyle w:val="30"/>
              <w:ind w:firstLine="0"/>
              <w:rPr>
                <w:color w:val="auto"/>
                <w:sz w:val="20"/>
                <w:szCs w:val="20"/>
              </w:rPr>
            </w:pPr>
            <w:r>
              <w:rPr>
                <w:color w:val="auto"/>
                <w:sz w:val="20"/>
                <w:szCs w:val="20"/>
              </w:rPr>
              <w:t>读值误差：±5%</w:t>
            </w:r>
          </w:p>
        </w:tc>
        <w:tc>
          <w:tcPr>
            <w:tcW w:w="2358" w:type="dxa"/>
            <w:vMerge w:val="continue"/>
            <w:vAlign w:val="center"/>
          </w:tcPr>
          <w:p>
            <w:pPr>
              <w:pStyle w:val="30"/>
              <w:ind w:firstLine="0"/>
              <w:jc w:val="center"/>
              <w:rPr>
                <w:color w:val="auto"/>
                <w:sz w:val="20"/>
                <w:szCs w:val="20"/>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 w:type="dxa"/>
            <w:bottom w:w="0" w:type="dxa"/>
            <w:right w:w="10" w:type="dxa"/>
          </w:tblCellMar>
        </w:tblPrEx>
        <w:trPr>
          <w:trHeight w:val="500" w:hRule="atLeast"/>
        </w:trPr>
        <w:tc>
          <w:tcPr>
            <w:tcW w:w="1266" w:type="dxa"/>
            <w:vMerge w:val="continue"/>
            <w:vAlign w:val="center"/>
          </w:tcPr>
          <w:p>
            <w:pPr>
              <w:pStyle w:val="30"/>
              <w:ind w:firstLine="0"/>
              <w:jc w:val="center"/>
              <w:rPr>
                <w:color w:val="auto"/>
                <w:sz w:val="20"/>
                <w:szCs w:val="20"/>
              </w:rPr>
            </w:pPr>
          </w:p>
        </w:tc>
        <w:tc>
          <w:tcPr>
            <w:tcW w:w="1418" w:type="dxa"/>
            <w:vAlign w:val="center"/>
          </w:tcPr>
          <w:p>
            <w:pPr>
              <w:pStyle w:val="30"/>
              <w:ind w:firstLine="0"/>
              <w:jc w:val="center"/>
              <w:rPr>
                <w:color w:val="auto"/>
                <w:sz w:val="20"/>
                <w:szCs w:val="20"/>
              </w:rPr>
            </w:pPr>
            <w:r>
              <w:rPr>
                <w:color w:val="auto"/>
                <w:sz w:val="20"/>
                <w:szCs w:val="20"/>
              </w:rPr>
              <w:t>巡线传感器</w:t>
            </w:r>
          </w:p>
        </w:tc>
        <w:tc>
          <w:tcPr>
            <w:tcW w:w="3260" w:type="dxa"/>
            <w:vAlign w:val="center"/>
          </w:tcPr>
          <w:p>
            <w:pPr>
              <w:pStyle w:val="30"/>
              <w:ind w:firstLine="0"/>
              <w:rPr>
                <w:color w:val="auto"/>
                <w:sz w:val="20"/>
                <w:szCs w:val="20"/>
              </w:rPr>
            </w:pPr>
            <w:r>
              <w:rPr>
                <w:color w:val="auto"/>
                <w:sz w:val="20"/>
                <w:szCs w:val="20"/>
              </w:rPr>
              <w:t>工作电压：DC 5V</w:t>
            </w:r>
          </w:p>
          <w:p>
            <w:pPr>
              <w:pStyle w:val="30"/>
              <w:ind w:firstLine="0"/>
              <w:rPr>
                <w:color w:val="auto"/>
                <w:sz w:val="20"/>
                <w:szCs w:val="20"/>
              </w:rPr>
            </w:pPr>
            <w:r>
              <w:rPr>
                <w:color w:val="auto"/>
                <w:sz w:val="20"/>
                <w:szCs w:val="20"/>
              </w:rPr>
              <w:t>检测高度：5mm-15mm</w:t>
            </w:r>
          </w:p>
        </w:tc>
        <w:tc>
          <w:tcPr>
            <w:tcW w:w="2358" w:type="dxa"/>
            <w:vMerge w:val="continue"/>
            <w:vAlign w:val="center"/>
          </w:tcPr>
          <w:p>
            <w:pPr>
              <w:pStyle w:val="30"/>
              <w:ind w:firstLine="0"/>
              <w:jc w:val="center"/>
              <w:rPr>
                <w:color w:val="auto"/>
                <w:sz w:val="20"/>
                <w:szCs w:val="20"/>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 w:type="dxa"/>
            <w:bottom w:w="0" w:type="dxa"/>
            <w:right w:w="10" w:type="dxa"/>
          </w:tblCellMar>
        </w:tblPrEx>
        <w:trPr>
          <w:trHeight w:val="500" w:hRule="atLeast"/>
        </w:trPr>
        <w:tc>
          <w:tcPr>
            <w:tcW w:w="1266" w:type="dxa"/>
            <w:vMerge w:val="restart"/>
            <w:vAlign w:val="center"/>
          </w:tcPr>
          <w:p>
            <w:pPr>
              <w:pStyle w:val="30"/>
              <w:ind w:firstLine="0"/>
              <w:jc w:val="center"/>
              <w:rPr>
                <w:b/>
                <w:bCs/>
                <w:color w:val="auto"/>
                <w:sz w:val="20"/>
                <w:szCs w:val="20"/>
              </w:rPr>
            </w:pPr>
            <w:r>
              <w:rPr>
                <w:b/>
                <w:bCs/>
                <w:color w:val="auto"/>
                <w:sz w:val="20"/>
                <w:szCs w:val="20"/>
              </w:rPr>
              <w:t>电机&amp;舵机</w:t>
            </w:r>
          </w:p>
        </w:tc>
        <w:tc>
          <w:tcPr>
            <w:tcW w:w="1418" w:type="dxa"/>
            <w:vAlign w:val="center"/>
          </w:tcPr>
          <w:p>
            <w:pPr>
              <w:pStyle w:val="30"/>
              <w:ind w:firstLine="0"/>
              <w:jc w:val="center"/>
              <w:rPr>
                <w:color w:val="auto"/>
                <w:sz w:val="20"/>
                <w:szCs w:val="20"/>
              </w:rPr>
            </w:pPr>
            <w:r>
              <w:rPr>
                <w:color w:val="auto"/>
                <w:sz w:val="20"/>
                <w:szCs w:val="20"/>
              </w:rPr>
              <w:t>编码电机</w:t>
            </w:r>
          </w:p>
        </w:tc>
        <w:tc>
          <w:tcPr>
            <w:tcW w:w="3260" w:type="dxa"/>
            <w:vAlign w:val="center"/>
          </w:tcPr>
          <w:p>
            <w:pPr>
              <w:pStyle w:val="30"/>
              <w:ind w:firstLine="0"/>
              <w:rPr>
                <w:color w:val="auto"/>
                <w:sz w:val="20"/>
                <w:szCs w:val="20"/>
              </w:rPr>
            </w:pPr>
            <w:r>
              <w:rPr>
                <w:color w:val="auto"/>
                <w:sz w:val="20"/>
                <w:szCs w:val="20"/>
              </w:rPr>
              <w:t>180光电编码电机</w:t>
            </w:r>
          </w:p>
          <w:p>
            <w:pPr>
              <w:pStyle w:val="30"/>
              <w:ind w:firstLine="0"/>
              <w:rPr>
                <w:color w:val="auto"/>
                <w:sz w:val="20"/>
                <w:szCs w:val="20"/>
              </w:rPr>
            </w:pPr>
            <w:r>
              <w:rPr>
                <w:color w:val="auto"/>
                <w:sz w:val="20"/>
                <w:szCs w:val="20"/>
              </w:rPr>
              <w:t>额定电压：12V</w:t>
            </w:r>
          </w:p>
          <w:p>
            <w:pPr>
              <w:pStyle w:val="30"/>
              <w:ind w:firstLine="0"/>
              <w:rPr>
                <w:color w:val="auto"/>
                <w:sz w:val="20"/>
                <w:szCs w:val="20"/>
              </w:rPr>
            </w:pPr>
            <w:r>
              <w:rPr>
                <w:color w:val="auto"/>
                <w:sz w:val="20"/>
                <w:szCs w:val="20"/>
              </w:rPr>
              <w:t>空载转速：350RPM±5%</w:t>
            </w:r>
          </w:p>
          <w:p>
            <w:pPr>
              <w:pStyle w:val="30"/>
              <w:ind w:firstLine="0"/>
              <w:rPr>
                <w:color w:val="auto"/>
                <w:sz w:val="20"/>
                <w:szCs w:val="20"/>
              </w:rPr>
            </w:pPr>
            <w:r>
              <w:rPr>
                <w:color w:val="auto"/>
                <w:sz w:val="20"/>
                <w:szCs w:val="20"/>
              </w:rPr>
              <w:t>减速比：39：6</w:t>
            </w:r>
          </w:p>
        </w:tc>
        <w:tc>
          <w:tcPr>
            <w:tcW w:w="2358" w:type="dxa"/>
            <w:vMerge w:val="restart"/>
            <w:vAlign w:val="center"/>
          </w:tcPr>
          <w:p>
            <w:pPr>
              <w:pStyle w:val="30"/>
              <w:ind w:firstLine="0"/>
              <w:jc w:val="center"/>
              <w:rPr>
                <w:color w:val="auto"/>
                <w:sz w:val="20"/>
                <w:szCs w:val="20"/>
              </w:rPr>
            </w:pPr>
            <w:r>
              <w:rPr>
                <w:color w:val="auto"/>
                <w:sz w:val="20"/>
                <w:szCs w:val="20"/>
              </w:rPr>
              <w:t>禁止更改任何电机或舵机内部机械结构和电气布局</w:t>
            </w:r>
            <w:r>
              <w:rPr>
                <w:rFonts w:hint="eastAsia"/>
                <w:color w:val="auto"/>
                <w:sz w:val="20"/>
                <w:szCs w:val="20"/>
              </w:rPr>
              <w:t>；电机、舵机</w:t>
            </w:r>
            <w:r>
              <w:rPr>
                <w:color w:val="auto"/>
                <w:sz w:val="20"/>
                <w:szCs w:val="20"/>
              </w:rPr>
              <w:t>总数量最多5个</w:t>
            </w:r>
            <w:r>
              <w:rPr>
                <w:rFonts w:hint="eastAsia"/>
                <w:color w:val="auto"/>
                <w:sz w:val="20"/>
                <w:szCs w:val="20"/>
              </w:rPr>
              <w:t>；</w:t>
            </w:r>
            <w:r>
              <w:rPr>
                <w:rFonts w:hint="eastAsia"/>
                <w:b/>
                <w:bCs/>
                <w:color w:val="auto"/>
                <w:sz w:val="20"/>
                <w:szCs w:val="20"/>
              </w:rPr>
              <w:t>仅可使文中提及的电机和舵机</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 w:type="dxa"/>
            <w:bottom w:w="0" w:type="dxa"/>
            <w:right w:w="10" w:type="dxa"/>
          </w:tblCellMar>
        </w:tblPrEx>
        <w:trPr>
          <w:trHeight w:val="500" w:hRule="atLeast"/>
        </w:trPr>
        <w:tc>
          <w:tcPr>
            <w:tcW w:w="1266" w:type="dxa"/>
            <w:vMerge w:val="continue"/>
            <w:vAlign w:val="center"/>
          </w:tcPr>
          <w:p>
            <w:pPr>
              <w:pStyle w:val="30"/>
              <w:ind w:firstLine="0"/>
              <w:jc w:val="center"/>
              <w:rPr>
                <w:color w:val="auto"/>
                <w:sz w:val="20"/>
                <w:szCs w:val="20"/>
              </w:rPr>
            </w:pPr>
          </w:p>
        </w:tc>
        <w:tc>
          <w:tcPr>
            <w:tcW w:w="1418" w:type="dxa"/>
            <w:vAlign w:val="center"/>
          </w:tcPr>
          <w:p>
            <w:pPr>
              <w:pStyle w:val="30"/>
              <w:ind w:firstLine="0"/>
              <w:jc w:val="center"/>
              <w:rPr>
                <w:color w:val="auto"/>
                <w:sz w:val="20"/>
                <w:szCs w:val="20"/>
              </w:rPr>
            </w:pPr>
            <w:r>
              <w:rPr>
                <w:color w:val="auto"/>
                <w:sz w:val="20"/>
                <w:szCs w:val="20"/>
              </w:rPr>
              <w:t>舵机</w:t>
            </w:r>
          </w:p>
        </w:tc>
        <w:tc>
          <w:tcPr>
            <w:tcW w:w="3260" w:type="dxa"/>
            <w:vAlign w:val="center"/>
          </w:tcPr>
          <w:p>
            <w:pPr>
              <w:pStyle w:val="30"/>
              <w:ind w:firstLine="0"/>
              <w:rPr>
                <w:color w:val="auto"/>
                <w:sz w:val="20"/>
                <w:szCs w:val="20"/>
              </w:rPr>
            </w:pPr>
            <w:r>
              <w:rPr>
                <w:color w:val="auto"/>
                <w:sz w:val="20"/>
                <w:szCs w:val="20"/>
              </w:rPr>
              <w:t>MS-1.5A智能舵机</w:t>
            </w:r>
          </w:p>
          <w:p>
            <w:pPr>
              <w:pStyle w:val="30"/>
              <w:ind w:firstLine="0"/>
              <w:rPr>
                <w:color w:val="auto"/>
                <w:sz w:val="20"/>
                <w:szCs w:val="20"/>
              </w:rPr>
            </w:pPr>
            <w:r>
              <w:rPr>
                <w:color w:val="auto"/>
                <w:sz w:val="20"/>
                <w:szCs w:val="20"/>
              </w:rPr>
              <w:t xml:space="preserve">工作电压：4.8-6V </w:t>
            </w:r>
            <w:r>
              <w:rPr>
                <w:rFonts w:hint="eastAsia"/>
                <w:color w:val="auto"/>
                <w:sz w:val="20"/>
                <w:szCs w:val="20"/>
              </w:rPr>
              <w:t>DC</w:t>
            </w:r>
          </w:p>
          <w:p>
            <w:pPr>
              <w:pStyle w:val="30"/>
              <w:ind w:firstLine="0"/>
              <w:rPr>
                <w:color w:val="auto"/>
                <w:sz w:val="20"/>
                <w:szCs w:val="20"/>
              </w:rPr>
            </w:pPr>
            <w:r>
              <w:rPr>
                <w:color w:val="auto"/>
                <w:sz w:val="20"/>
                <w:szCs w:val="20"/>
              </w:rPr>
              <w:t>扭矩：1.5</w:t>
            </w:r>
            <w:r>
              <w:rPr>
                <w:rFonts w:hint="eastAsia"/>
                <w:color w:val="auto"/>
                <w:sz w:val="20"/>
                <w:szCs w:val="20"/>
              </w:rPr>
              <w:t>kg</w:t>
            </w:r>
            <w:r>
              <w:rPr>
                <w:color w:val="auto"/>
                <w:sz w:val="20"/>
                <w:szCs w:val="20"/>
              </w:rPr>
              <w:t>/CM</w:t>
            </w:r>
          </w:p>
        </w:tc>
        <w:tc>
          <w:tcPr>
            <w:tcW w:w="2358" w:type="dxa"/>
            <w:vMerge w:val="continue"/>
            <w:vAlign w:val="center"/>
          </w:tcPr>
          <w:p>
            <w:pPr>
              <w:pStyle w:val="30"/>
              <w:ind w:firstLine="0"/>
              <w:jc w:val="center"/>
              <w:rPr>
                <w:color w:val="auto"/>
                <w:sz w:val="20"/>
                <w:szCs w:val="20"/>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 w:type="dxa"/>
            <w:bottom w:w="0" w:type="dxa"/>
            <w:right w:w="10" w:type="dxa"/>
          </w:tblCellMar>
        </w:tblPrEx>
        <w:trPr>
          <w:trHeight w:val="500" w:hRule="atLeast"/>
        </w:trPr>
        <w:tc>
          <w:tcPr>
            <w:tcW w:w="1266" w:type="dxa"/>
            <w:vMerge w:val="restart"/>
            <w:vAlign w:val="center"/>
          </w:tcPr>
          <w:p>
            <w:pPr>
              <w:pStyle w:val="30"/>
              <w:ind w:firstLine="0"/>
              <w:jc w:val="center"/>
              <w:rPr>
                <w:b/>
                <w:bCs/>
                <w:color w:val="auto"/>
                <w:sz w:val="20"/>
                <w:szCs w:val="20"/>
              </w:rPr>
            </w:pPr>
            <w:r>
              <w:rPr>
                <w:b/>
                <w:bCs/>
                <w:color w:val="auto"/>
                <w:sz w:val="20"/>
                <w:szCs w:val="20"/>
              </w:rPr>
              <w:t>无线通信</w:t>
            </w:r>
          </w:p>
        </w:tc>
        <w:tc>
          <w:tcPr>
            <w:tcW w:w="1418" w:type="dxa"/>
            <w:vAlign w:val="center"/>
          </w:tcPr>
          <w:p>
            <w:pPr>
              <w:pStyle w:val="30"/>
              <w:ind w:firstLine="0"/>
              <w:jc w:val="center"/>
              <w:rPr>
                <w:color w:val="auto"/>
                <w:sz w:val="20"/>
                <w:szCs w:val="20"/>
              </w:rPr>
            </w:pPr>
            <w:r>
              <w:rPr>
                <w:color w:val="auto"/>
                <w:sz w:val="20"/>
                <w:szCs w:val="20"/>
              </w:rPr>
              <w:t>蓝牙手柄</w:t>
            </w:r>
          </w:p>
        </w:tc>
        <w:tc>
          <w:tcPr>
            <w:tcW w:w="3260" w:type="dxa"/>
            <w:vAlign w:val="center"/>
          </w:tcPr>
          <w:p>
            <w:pPr>
              <w:pStyle w:val="30"/>
              <w:ind w:firstLine="0"/>
              <w:rPr>
                <w:color w:val="auto"/>
                <w:sz w:val="20"/>
                <w:szCs w:val="20"/>
              </w:rPr>
            </w:pPr>
            <w:r>
              <w:rPr>
                <w:color w:val="auto"/>
                <w:sz w:val="20"/>
                <w:szCs w:val="20"/>
              </w:rPr>
              <w:t>频带范围：2402~2480MHz</w:t>
            </w:r>
          </w:p>
          <w:p>
            <w:pPr>
              <w:pStyle w:val="30"/>
              <w:ind w:firstLine="0"/>
              <w:rPr>
                <w:color w:val="auto"/>
                <w:sz w:val="20"/>
                <w:szCs w:val="20"/>
              </w:rPr>
            </w:pPr>
            <w:r>
              <w:rPr>
                <w:color w:val="auto"/>
                <w:sz w:val="20"/>
                <w:szCs w:val="20"/>
              </w:rPr>
              <w:t>天线增益：1.5dBi</w:t>
            </w:r>
          </w:p>
          <w:p>
            <w:pPr>
              <w:pStyle w:val="30"/>
              <w:ind w:firstLine="0"/>
              <w:rPr>
                <w:color w:val="auto"/>
                <w:sz w:val="20"/>
                <w:szCs w:val="20"/>
              </w:rPr>
            </w:pPr>
            <w:r>
              <w:rPr>
                <w:color w:val="auto"/>
                <w:sz w:val="20"/>
                <w:szCs w:val="20"/>
              </w:rPr>
              <w:t>工作电流：15mA</w:t>
            </w:r>
          </w:p>
        </w:tc>
        <w:tc>
          <w:tcPr>
            <w:tcW w:w="2358" w:type="dxa"/>
            <w:vAlign w:val="center"/>
          </w:tcPr>
          <w:p>
            <w:pPr>
              <w:pStyle w:val="30"/>
              <w:ind w:firstLine="0"/>
              <w:jc w:val="center"/>
              <w:rPr>
                <w:color w:val="auto"/>
                <w:sz w:val="20"/>
                <w:szCs w:val="20"/>
              </w:rPr>
            </w:pP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 w:type="dxa"/>
            <w:bottom w:w="0" w:type="dxa"/>
            <w:right w:w="10" w:type="dxa"/>
          </w:tblCellMar>
        </w:tblPrEx>
        <w:trPr>
          <w:trHeight w:val="500" w:hRule="atLeast"/>
        </w:trPr>
        <w:tc>
          <w:tcPr>
            <w:tcW w:w="1266" w:type="dxa"/>
            <w:vMerge w:val="continue"/>
            <w:vAlign w:val="center"/>
          </w:tcPr>
          <w:p>
            <w:pPr>
              <w:pStyle w:val="30"/>
              <w:ind w:firstLine="0"/>
              <w:jc w:val="center"/>
              <w:rPr>
                <w:color w:val="auto"/>
                <w:sz w:val="20"/>
                <w:szCs w:val="20"/>
              </w:rPr>
            </w:pPr>
          </w:p>
        </w:tc>
        <w:tc>
          <w:tcPr>
            <w:tcW w:w="1418" w:type="dxa"/>
            <w:vAlign w:val="center"/>
          </w:tcPr>
          <w:p>
            <w:pPr>
              <w:pStyle w:val="30"/>
              <w:ind w:firstLine="0"/>
              <w:jc w:val="center"/>
              <w:rPr>
                <w:color w:val="auto"/>
                <w:sz w:val="20"/>
                <w:szCs w:val="20"/>
              </w:rPr>
            </w:pPr>
            <w:r>
              <w:rPr>
                <w:color w:val="auto"/>
                <w:sz w:val="20"/>
                <w:szCs w:val="20"/>
              </w:rPr>
              <w:t>蓝牙模块</w:t>
            </w:r>
          </w:p>
        </w:tc>
        <w:tc>
          <w:tcPr>
            <w:tcW w:w="3260" w:type="dxa"/>
            <w:vAlign w:val="center"/>
          </w:tcPr>
          <w:p>
            <w:pPr>
              <w:pStyle w:val="30"/>
              <w:ind w:firstLine="0"/>
              <w:rPr>
                <w:color w:val="auto"/>
                <w:sz w:val="20"/>
                <w:szCs w:val="20"/>
              </w:rPr>
            </w:pPr>
            <w:r>
              <w:rPr>
                <w:color w:val="auto"/>
                <w:sz w:val="20"/>
                <w:szCs w:val="20"/>
              </w:rPr>
              <w:t>蓝牙版本：BT4.0</w:t>
            </w:r>
          </w:p>
          <w:p>
            <w:pPr>
              <w:pStyle w:val="30"/>
              <w:ind w:firstLine="0"/>
              <w:rPr>
                <w:color w:val="auto"/>
                <w:sz w:val="20"/>
                <w:szCs w:val="20"/>
              </w:rPr>
            </w:pPr>
            <w:r>
              <w:rPr>
                <w:color w:val="auto"/>
                <w:sz w:val="20"/>
                <w:szCs w:val="20"/>
              </w:rPr>
              <w:t>频带范围：2402~2480MHz</w:t>
            </w:r>
          </w:p>
          <w:p>
            <w:pPr>
              <w:pStyle w:val="30"/>
              <w:ind w:firstLine="0"/>
              <w:rPr>
                <w:color w:val="auto"/>
                <w:sz w:val="20"/>
                <w:szCs w:val="20"/>
              </w:rPr>
            </w:pPr>
            <w:r>
              <w:rPr>
                <w:color w:val="auto"/>
                <w:sz w:val="20"/>
                <w:szCs w:val="20"/>
              </w:rPr>
              <w:t>天线增益：1.5dBi</w:t>
            </w:r>
          </w:p>
          <w:p>
            <w:pPr>
              <w:pStyle w:val="30"/>
              <w:ind w:firstLine="0"/>
              <w:rPr>
                <w:color w:val="auto"/>
                <w:sz w:val="20"/>
                <w:szCs w:val="20"/>
              </w:rPr>
            </w:pPr>
            <w:r>
              <w:rPr>
                <w:color w:val="auto"/>
                <w:sz w:val="20"/>
                <w:szCs w:val="20"/>
              </w:rPr>
              <w:t>能耗等级：≤4dBm</w:t>
            </w:r>
          </w:p>
          <w:p>
            <w:pPr>
              <w:pStyle w:val="30"/>
              <w:ind w:firstLine="0"/>
              <w:rPr>
                <w:color w:val="auto"/>
                <w:sz w:val="20"/>
                <w:szCs w:val="20"/>
              </w:rPr>
            </w:pPr>
            <w:r>
              <w:rPr>
                <w:color w:val="auto"/>
                <w:sz w:val="20"/>
                <w:szCs w:val="20"/>
              </w:rPr>
              <w:t>工作电流：15mA</w:t>
            </w:r>
          </w:p>
        </w:tc>
        <w:tc>
          <w:tcPr>
            <w:tcW w:w="2358" w:type="dxa"/>
            <w:vAlign w:val="center"/>
          </w:tcPr>
          <w:p>
            <w:pPr>
              <w:pStyle w:val="30"/>
              <w:ind w:firstLine="0"/>
              <w:jc w:val="center"/>
              <w:rPr>
                <w:color w:val="auto"/>
                <w:sz w:val="20"/>
                <w:szCs w:val="20"/>
              </w:rPr>
            </w:pPr>
            <w:r>
              <w:rPr>
                <w:color w:val="auto"/>
                <w:sz w:val="20"/>
                <w:szCs w:val="20"/>
              </w:rPr>
              <w:t>禁止使用除官方配备的蓝牙手柄以外任何形式的无线控制与机器人进行通信，包括但不限于任何人为触发的传感器</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 w:type="dxa"/>
            <w:bottom w:w="0" w:type="dxa"/>
            <w:right w:w="10" w:type="dxa"/>
          </w:tblCellMar>
        </w:tblPrEx>
        <w:trPr>
          <w:trHeight w:val="500" w:hRule="atLeast"/>
        </w:trPr>
        <w:tc>
          <w:tcPr>
            <w:tcW w:w="1266" w:type="dxa"/>
            <w:vAlign w:val="center"/>
          </w:tcPr>
          <w:p>
            <w:pPr>
              <w:pStyle w:val="30"/>
              <w:ind w:firstLine="0"/>
              <w:jc w:val="center"/>
              <w:rPr>
                <w:b/>
                <w:bCs/>
                <w:color w:val="auto"/>
                <w:sz w:val="20"/>
                <w:szCs w:val="20"/>
              </w:rPr>
            </w:pPr>
            <w:r>
              <w:rPr>
                <w:b/>
                <w:bCs/>
                <w:color w:val="auto"/>
                <w:sz w:val="20"/>
                <w:szCs w:val="20"/>
              </w:rPr>
              <w:t>电池</w:t>
            </w:r>
          </w:p>
        </w:tc>
        <w:tc>
          <w:tcPr>
            <w:tcW w:w="1418" w:type="dxa"/>
            <w:vAlign w:val="center"/>
          </w:tcPr>
          <w:p>
            <w:pPr>
              <w:pStyle w:val="30"/>
              <w:ind w:firstLine="0"/>
              <w:jc w:val="center"/>
              <w:rPr>
                <w:color w:val="auto"/>
                <w:sz w:val="20"/>
                <w:szCs w:val="20"/>
              </w:rPr>
            </w:pPr>
            <w:r>
              <w:rPr>
                <w:color w:val="auto"/>
                <w:sz w:val="20"/>
                <w:szCs w:val="20"/>
              </w:rPr>
              <w:t>18650电池</w:t>
            </w:r>
          </w:p>
        </w:tc>
        <w:tc>
          <w:tcPr>
            <w:tcW w:w="3260" w:type="dxa"/>
            <w:vAlign w:val="center"/>
          </w:tcPr>
          <w:p>
            <w:pPr>
              <w:pStyle w:val="30"/>
              <w:ind w:firstLine="0"/>
              <w:rPr>
                <w:color w:val="auto"/>
                <w:sz w:val="20"/>
                <w:szCs w:val="20"/>
              </w:rPr>
            </w:pPr>
            <w:r>
              <w:rPr>
                <w:color w:val="auto"/>
                <w:sz w:val="20"/>
                <w:szCs w:val="20"/>
              </w:rPr>
              <w:t>电池参数：3.7V 2500mAh</w:t>
            </w:r>
          </w:p>
          <w:p>
            <w:pPr>
              <w:pStyle w:val="30"/>
              <w:ind w:firstLine="0"/>
              <w:rPr>
                <w:color w:val="auto"/>
                <w:sz w:val="20"/>
                <w:szCs w:val="20"/>
              </w:rPr>
            </w:pPr>
            <w:r>
              <w:rPr>
                <w:color w:val="auto"/>
                <w:sz w:val="20"/>
                <w:szCs w:val="20"/>
              </w:rPr>
              <w:t>输出电压/电流：5V 6A</w:t>
            </w:r>
          </w:p>
        </w:tc>
        <w:tc>
          <w:tcPr>
            <w:tcW w:w="2358" w:type="dxa"/>
            <w:vAlign w:val="center"/>
          </w:tcPr>
          <w:p>
            <w:pPr>
              <w:pStyle w:val="30"/>
              <w:ind w:firstLine="0"/>
              <w:jc w:val="center"/>
              <w:rPr>
                <w:color w:val="auto"/>
                <w:sz w:val="20"/>
                <w:szCs w:val="20"/>
              </w:rPr>
            </w:pPr>
            <w:r>
              <w:rPr>
                <w:color w:val="auto"/>
                <w:sz w:val="20"/>
                <w:szCs w:val="20"/>
              </w:rPr>
              <w:t>不得擅自改动电池组件，若因此造成意外，需自行承担；</w:t>
            </w:r>
          </w:p>
        </w:tc>
      </w:tr>
    </w:tbl>
    <w:p>
      <w:pPr>
        <w:pStyle w:val="30"/>
        <w:spacing w:before="156" w:beforeLines="50"/>
      </w:pPr>
      <w:r>
        <w:rPr>
          <w:rFonts w:hint="eastAsia"/>
        </w:rPr>
        <w:t>机器人须符合技术规范的相关要求，不符合技术规范的机器人将不能参加比赛，战队须按照技术规范进行整改直至解决相关问题。</w:t>
      </w:r>
    </w:p>
    <w:p>
      <w:pPr>
        <w:pStyle w:val="36"/>
        <w:spacing w:line="240" w:lineRule="auto"/>
      </w:pPr>
      <w:bookmarkStart w:id="12" w:name="_Toc146613848"/>
      <w:r>
        <w:rPr>
          <w:rFonts w:hint="eastAsia"/>
        </w:rPr>
        <w:t>比赛规则</w:t>
      </w:r>
      <w:bookmarkEnd w:id="12"/>
    </w:p>
    <w:p>
      <w:pPr>
        <w:pStyle w:val="33"/>
        <w:spacing w:after="0" w:line="420" w:lineRule="exact"/>
      </w:pPr>
      <w:bookmarkStart w:id="13" w:name="_Toc146613849"/>
      <w:r>
        <w:t>违规处罚说明</w:t>
      </w:r>
      <w:bookmarkEnd w:id="13"/>
    </w:p>
    <w:p>
      <w:pPr>
        <w:pStyle w:val="30"/>
      </w:pPr>
      <w:r>
        <w:rPr>
          <w:rFonts w:hint="eastAsia"/>
        </w:rPr>
        <w:t>规则中包含如下几种判罚方式，其定义或解释如下：</w:t>
      </w:r>
    </w:p>
    <w:p>
      <w:pPr>
        <w:pStyle w:val="63"/>
      </w:pPr>
      <w:r>
        <w:t>警告</w:t>
      </w:r>
    </w:p>
    <w:p>
      <w:pPr>
        <w:pStyle w:val="93"/>
        <w:ind w:firstLine="480"/>
      </w:pPr>
      <w:r>
        <w:rPr>
          <w:rFonts w:hint="eastAsia"/>
        </w:rPr>
        <w:t>裁判对战队的第一次违规给予口头警告，并且要求战队停止违规行为并服从裁判指示。在此期间，比赛计时将不会停止。</w:t>
      </w:r>
    </w:p>
    <w:p>
      <w:pPr>
        <w:pStyle w:val="63"/>
      </w:pPr>
      <w:r>
        <w:t>违例</w:t>
      </w:r>
    </w:p>
    <w:p>
      <w:pPr>
        <w:pStyle w:val="93"/>
        <w:ind w:firstLine="480"/>
      </w:pPr>
      <w:r>
        <w:t>裁判在发现战队违</w:t>
      </w:r>
      <w:r>
        <w:rPr>
          <w:rFonts w:hint="eastAsia"/>
        </w:rPr>
        <w:t>规（</w:t>
      </w:r>
      <w:r>
        <w:t>该战队</w:t>
      </w:r>
      <w:r>
        <w:rPr>
          <w:rFonts w:hint="eastAsia"/>
        </w:rPr>
        <w:t>在</w:t>
      </w:r>
      <w:r>
        <w:t>本次单场比赛中</w:t>
      </w:r>
      <w:r>
        <w:rPr>
          <w:rFonts w:hint="eastAsia"/>
        </w:rPr>
        <w:t>已经</w:t>
      </w:r>
      <w:r>
        <w:t>被警告过一次</w:t>
      </w:r>
      <w:r>
        <w:rPr>
          <w:rFonts w:hint="eastAsia"/>
        </w:rPr>
        <w:t>）后</w:t>
      </w:r>
      <w:r>
        <w:t>，立即向该</w:t>
      </w:r>
      <w:r>
        <w:rPr>
          <w:rFonts w:hint="eastAsia"/>
        </w:rPr>
        <w:t>战队</w:t>
      </w:r>
      <w:r>
        <w:t>宣布</w:t>
      </w:r>
      <w:r>
        <w:rPr>
          <w:rFonts w:hint="eastAsia"/>
        </w:rPr>
        <w:t>违例</w:t>
      </w:r>
      <w:r>
        <w:t>并扣</w:t>
      </w:r>
      <w:r>
        <w:rPr>
          <w:rFonts w:hint="eastAsia"/>
        </w:rPr>
        <w:t>除</w:t>
      </w:r>
      <w:r>
        <w:t>该战队20</w:t>
      </w:r>
      <w:r>
        <w:rPr>
          <w:rFonts w:hint="eastAsia"/>
        </w:rPr>
        <w:t>分</w:t>
      </w:r>
      <w:r>
        <w:t>。在此期间，比赛计时将不会停止。</w:t>
      </w:r>
    </w:p>
    <w:p>
      <w:pPr>
        <w:pStyle w:val="93"/>
        <w:ind w:firstLine="480"/>
      </w:pPr>
      <w:r>
        <w:rPr>
          <w:rFonts w:hint="eastAsia"/>
        </w:rPr>
        <w:t>比赛</w:t>
      </w:r>
      <w:r>
        <w:t>中，</w:t>
      </w:r>
      <w:r>
        <w:rPr>
          <w:rFonts w:hint="eastAsia"/>
        </w:rPr>
        <w:t>若因违规行为</w:t>
      </w:r>
      <w:r>
        <w:t>获得</w:t>
      </w:r>
      <w:r>
        <w:rPr>
          <w:rFonts w:hint="eastAsia"/>
        </w:rPr>
        <w:t>了得分</w:t>
      </w:r>
      <w:r>
        <w:t>优势</w:t>
      </w:r>
      <w:r>
        <w:rPr>
          <w:rFonts w:hint="eastAsia"/>
        </w:rPr>
        <w:t>则</w:t>
      </w:r>
      <w:r>
        <w:t>该</w:t>
      </w:r>
      <w:r>
        <w:rPr>
          <w:rFonts w:hint="eastAsia"/>
        </w:rPr>
        <w:t>得分</w:t>
      </w:r>
      <w:r>
        <w:t>优势无效，</w:t>
      </w:r>
      <w:r>
        <w:rPr>
          <w:rFonts w:hint="eastAsia"/>
        </w:rPr>
        <w:t>且该</w:t>
      </w:r>
      <w:r>
        <w:t>得分道具</w:t>
      </w:r>
      <w:r>
        <w:rPr>
          <w:rFonts w:hint="eastAsia"/>
        </w:rPr>
        <w:t>将</w:t>
      </w:r>
      <w:r>
        <w:t>失效。</w:t>
      </w:r>
    </w:p>
    <w:p>
      <w:pPr>
        <w:pStyle w:val="63"/>
      </w:pPr>
      <w:r>
        <w:rPr>
          <w:rFonts w:hint="eastAsia"/>
        </w:rPr>
        <w:t>得分道具</w:t>
      </w:r>
      <w:r>
        <w:t>失效</w:t>
      </w:r>
    </w:p>
    <w:p>
      <w:pPr>
        <w:pStyle w:val="93"/>
        <w:ind w:firstLine="480"/>
      </w:pPr>
      <w:r>
        <w:rPr>
          <w:rFonts w:hint="eastAsia"/>
        </w:rPr>
        <w:t>若违规触碰场地道具及得分道具，则裁判将宣布相关道具失效。已经失效的得分道具将会被裁判移除出比赛场地，且无法继续获得分数。裁判有权根据本手册内容对该得分道具失效前的最终状态是否计分进行裁定。计分阶段，若得分道具与机器人存在接触，该得分道具无论是否处于得分状态都不算得分。</w:t>
      </w:r>
    </w:p>
    <w:p>
      <w:pPr>
        <w:pStyle w:val="63"/>
      </w:pPr>
      <w:r>
        <w:rPr>
          <w:rFonts w:hint="eastAsia"/>
        </w:rPr>
        <w:t>取消</w:t>
      </w:r>
      <w:r>
        <w:t>本场比赛资格</w:t>
      </w:r>
    </w:p>
    <w:p>
      <w:pPr>
        <w:pStyle w:val="93"/>
        <w:ind w:firstLine="480"/>
      </w:pPr>
      <w:r>
        <w:rPr>
          <w:rFonts w:hint="eastAsia"/>
        </w:rPr>
        <w:t>本场比赛成绩作废，但不影响其他场次比赛。</w:t>
      </w:r>
    </w:p>
    <w:p>
      <w:pPr>
        <w:pStyle w:val="63"/>
      </w:pPr>
      <w:r>
        <w:rPr>
          <w:rFonts w:hint="eastAsia"/>
        </w:rPr>
        <w:t>取消全场</w:t>
      </w:r>
      <w:r>
        <w:t>比赛资格</w:t>
      </w:r>
    </w:p>
    <w:p>
      <w:pPr>
        <w:pStyle w:val="93"/>
        <w:ind w:firstLine="480"/>
      </w:pPr>
      <w:r>
        <w:rPr>
          <w:rFonts w:hint="eastAsia"/>
        </w:rPr>
        <w:t>所有场次比赛成绩作废，</w:t>
      </w:r>
      <w:r>
        <w:t>该</w:t>
      </w:r>
      <w:r>
        <w:rPr>
          <w:rFonts w:hint="eastAsia"/>
        </w:rPr>
        <w:t>战队</w:t>
      </w:r>
      <w:r>
        <w:t>将失去继</w:t>
      </w:r>
      <w:r>
        <w:rPr>
          <w:rFonts w:hint="eastAsia"/>
        </w:rPr>
        <w:t>续参加本次比赛的机会和评奖资格。</w:t>
      </w:r>
    </w:p>
    <w:p>
      <w:pPr>
        <w:pStyle w:val="33"/>
        <w:spacing w:line="420" w:lineRule="exact"/>
      </w:pPr>
      <w:bookmarkStart w:id="14" w:name="_Toc146613850"/>
      <w:r>
        <w:t>安全规则</w:t>
      </w:r>
      <w:bookmarkEnd w:id="14"/>
    </w:p>
    <w:p>
      <w:pPr>
        <w:pStyle w:val="63"/>
      </w:pPr>
      <w:r>
        <w:t>机器人安全</w:t>
      </w:r>
    </w:p>
    <w:p>
      <w:pPr>
        <w:pStyle w:val="90"/>
        <w:ind w:firstLine="480"/>
      </w:pPr>
      <w:r>
        <w:t>战队对机器人的设计搭建</w:t>
      </w:r>
      <w:r>
        <w:rPr>
          <w:rFonts w:hint="eastAsia"/>
        </w:rPr>
        <w:t>，须</w:t>
      </w:r>
      <w:r>
        <w:t>符合技术规范的要求。</w:t>
      </w:r>
    </w:p>
    <w:p>
      <w:pPr>
        <w:pStyle w:val="90"/>
        <w:ind w:firstLine="480"/>
      </w:pPr>
      <w:r>
        <w:t>机器人</w:t>
      </w:r>
      <w:r>
        <w:rPr>
          <w:rFonts w:hint="eastAsia"/>
        </w:rPr>
        <w:t>的</w:t>
      </w:r>
      <w:r>
        <w:t>各种零部件</w:t>
      </w:r>
      <w:r>
        <w:rPr>
          <w:rFonts w:hint="eastAsia"/>
        </w:rPr>
        <w:t>需安全</w:t>
      </w:r>
      <w:r>
        <w:t>使用。</w:t>
      </w:r>
    </w:p>
    <w:p>
      <w:pPr>
        <w:pStyle w:val="90"/>
        <w:ind w:firstLine="480"/>
      </w:pPr>
      <w:r>
        <w:t>机器人</w:t>
      </w:r>
      <w:r>
        <w:rPr>
          <w:rFonts w:hint="eastAsia"/>
        </w:rPr>
        <w:t>不可有主动分离零部件（发射、弹射等）的动作。</w:t>
      </w:r>
    </w:p>
    <w:p>
      <w:pPr>
        <w:pStyle w:val="90"/>
        <w:ind w:firstLine="480"/>
      </w:pPr>
      <w:r>
        <w:rPr>
          <w:rFonts w:hint="eastAsia"/>
        </w:rPr>
        <w:t>比赛全程</w:t>
      </w:r>
      <w:r>
        <w:t>中机器人不得使用</w:t>
      </w:r>
      <w:r>
        <w:rPr>
          <w:rFonts w:hint="eastAsia"/>
        </w:rPr>
        <w:t>包括</w:t>
      </w:r>
      <w:r>
        <w:t>但不限于双面胶或</w:t>
      </w:r>
      <w:r>
        <w:rPr>
          <w:rFonts w:hint="eastAsia"/>
        </w:rPr>
        <w:t>胶水粘贴</w:t>
      </w:r>
      <w:r>
        <w:t>场地道具。</w:t>
      </w:r>
    </w:p>
    <w:p>
      <w:pPr>
        <w:pStyle w:val="90"/>
        <w:ind w:firstLine="480"/>
      </w:pPr>
      <w:r>
        <w:t>裁判有权拒绝危险的机器人进入</w:t>
      </w:r>
      <w:r>
        <w:rPr>
          <w:rFonts w:hint="eastAsia"/>
        </w:rPr>
        <w:t>赛场</w:t>
      </w:r>
      <w:r>
        <w:t>进行比赛。裁判有权依据机器人危险程度</w:t>
      </w:r>
      <w:r>
        <w:rPr>
          <w:rFonts w:hint="eastAsia"/>
        </w:rPr>
        <w:t>判断</w:t>
      </w:r>
      <w:r>
        <w:t>是否取消战队</w:t>
      </w:r>
      <w:r>
        <w:rPr>
          <w:rFonts w:hint="eastAsia"/>
        </w:rPr>
        <w:t>全场</w:t>
      </w:r>
      <w:r>
        <w:t>比赛资格。</w:t>
      </w:r>
    </w:p>
    <w:p>
      <w:pPr>
        <w:pStyle w:val="63"/>
        <w:jc w:val="left"/>
      </w:pPr>
      <w:r>
        <w:rPr>
          <w:rFonts w:hint="eastAsia"/>
        </w:rPr>
        <w:t>参赛选手</w:t>
      </w:r>
      <w:r>
        <w:t>安全</w:t>
      </w:r>
      <w:r>
        <w:rPr>
          <w:rFonts w:hint="eastAsia"/>
        </w:rPr>
        <w:t>规则</w:t>
      </w:r>
    </w:p>
    <w:p>
      <w:pPr>
        <w:pStyle w:val="90"/>
        <w:ind w:firstLine="480"/>
      </w:pPr>
      <w:r>
        <w:t>参赛</w:t>
      </w:r>
      <w:r>
        <w:rPr>
          <w:rFonts w:hint="eastAsia"/>
        </w:rPr>
        <w:t>选手</w:t>
      </w:r>
      <w:r>
        <w:t>需在指导教师的</w:t>
      </w:r>
      <w:r>
        <w:rPr>
          <w:rFonts w:hint="eastAsia"/>
        </w:rPr>
        <w:t>引导</w:t>
      </w:r>
      <w:r>
        <w:t>下，仔细阅读本手册后，进行比赛的准备。</w:t>
      </w:r>
    </w:p>
    <w:p>
      <w:pPr>
        <w:pStyle w:val="90"/>
        <w:ind w:firstLine="480"/>
      </w:pPr>
      <w:r>
        <w:t>参赛</w:t>
      </w:r>
      <w:r>
        <w:rPr>
          <w:rFonts w:hint="eastAsia"/>
        </w:rPr>
        <w:t>选手</w:t>
      </w:r>
      <w:r>
        <w:t>在准备比赛的过程中不可擅自进行危险操作。</w:t>
      </w:r>
    </w:p>
    <w:p>
      <w:pPr>
        <w:pStyle w:val="90"/>
        <w:ind w:firstLine="480"/>
      </w:pPr>
      <w:r>
        <w:t>在使用工具（螺丝刀、</w:t>
      </w:r>
      <w:r>
        <w:rPr>
          <w:rFonts w:hint="eastAsia"/>
        </w:rPr>
        <w:t>锋利</w:t>
      </w:r>
      <w:r>
        <w:t>刀</w:t>
      </w:r>
      <w:r>
        <w:rPr>
          <w:rFonts w:hint="eastAsia"/>
        </w:rPr>
        <w:t>具</w:t>
      </w:r>
      <w:r>
        <w:t>）等危险物品时需注意安全。</w:t>
      </w:r>
    </w:p>
    <w:p>
      <w:pPr>
        <w:pStyle w:val="90"/>
        <w:ind w:firstLine="480"/>
      </w:pPr>
      <w:r>
        <w:t>比赛中，</w:t>
      </w:r>
      <w:r>
        <w:rPr>
          <w:rFonts w:hint="eastAsia"/>
        </w:rPr>
        <w:t>参赛选手建议</w:t>
      </w:r>
      <w:r>
        <w:t>佩戴护目镜；留长发者</w:t>
      </w:r>
      <w:r>
        <w:rPr>
          <w:rFonts w:hint="eastAsia"/>
        </w:rPr>
        <w:t>，须将长发</w:t>
      </w:r>
      <w:r>
        <w:t>扎起；战队禁止穿露脚趾的鞋进入</w:t>
      </w:r>
      <w:r>
        <w:rPr>
          <w:rFonts w:hint="eastAsia"/>
        </w:rPr>
        <w:t>赛场</w:t>
      </w:r>
      <w:r>
        <w:t xml:space="preserve">。 </w:t>
      </w:r>
    </w:p>
    <w:p>
      <w:pPr>
        <w:pStyle w:val="90"/>
        <w:ind w:firstLine="480"/>
      </w:pPr>
      <w:r>
        <w:rPr>
          <w:rFonts w:hint="eastAsia"/>
        </w:rPr>
        <w:t>比赛中，战队不可进行按压赛台，破坏场地道具等危险动作。</w:t>
      </w:r>
    </w:p>
    <w:p>
      <w:pPr>
        <w:pStyle w:val="90"/>
        <w:numPr>
          <w:ilvl w:val="0"/>
          <w:numId w:val="0"/>
        </w:numPr>
        <w:ind w:firstLine="480" w:firstLineChars="200"/>
        <w:jc w:val="left"/>
      </w:pPr>
      <w:r>
        <w:rPr>
          <w:rStyle w:val="49"/>
          <w:rFonts w:hint="eastAsia"/>
          <w:color w:val="000000" w:themeColor="text1"/>
          <w14:textFill>
            <w14:solidFill>
              <w14:schemeClr w14:val="tx1"/>
            </w14:solidFill>
          </w14:textFill>
        </w:rPr>
        <w:t>如不符合以上要求，</w:t>
      </w:r>
      <w:r>
        <w:rPr>
          <w:rStyle w:val="49"/>
          <w:color w:val="000000" w:themeColor="text1"/>
          <w14:textFill>
            <w14:solidFill>
              <w14:schemeClr w14:val="tx1"/>
            </w14:solidFill>
          </w14:textFill>
        </w:rPr>
        <w:t>裁判</w:t>
      </w:r>
      <w:r>
        <w:rPr>
          <w:rStyle w:val="49"/>
          <w:rFonts w:hint="eastAsia"/>
          <w:color w:val="000000" w:themeColor="text1"/>
          <w14:textFill>
            <w14:solidFill>
              <w14:schemeClr w14:val="tx1"/>
            </w14:solidFill>
          </w14:textFill>
        </w:rPr>
        <w:t>可</w:t>
      </w:r>
      <w:r>
        <w:rPr>
          <w:rStyle w:val="49"/>
          <w:color w:val="000000" w:themeColor="text1"/>
          <w14:textFill>
            <w14:solidFill>
              <w14:schemeClr w14:val="tx1"/>
            </w14:solidFill>
          </w14:textFill>
        </w:rPr>
        <w:t>拒绝战队进入</w:t>
      </w:r>
      <w:r>
        <w:rPr>
          <w:rStyle w:val="49"/>
          <w:rFonts w:hint="eastAsia"/>
          <w:color w:val="000000" w:themeColor="text1"/>
          <w14:textFill>
            <w14:solidFill>
              <w14:schemeClr w14:val="tx1"/>
            </w14:solidFill>
          </w14:textFill>
        </w:rPr>
        <w:t>赛场</w:t>
      </w:r>
      <w:r>
        <w:rPr>
          <w:rStyle w:val="49"/>
          <w:color w:val="000000" w:themeColor="text1"/>
          <w14:textFill>
            <w14:solidFill>
              <w14:schemeClr w14:val="tx1"/>
            </w14:solidFill>
          </w14:textFill>
        </w:rPr>
        <w:t>进行比赛</w:t>
      </w:r>
      <w:r>
        <w:rPr>
          <w:rStyle w:val="49"/>
          <w:rFonts w:hint="eastAsia"/>
          <w:color w:val="000000" w:themeColor="text1"/>
          <w14:textFill>
            <w14:solidFill>
              <w14:schemeClr w14:val="tx1"/>
            </w14:solidFill>
          </w14:textFill>
        </w:rPr>
        <w:t>，要求战队整改直至解决相关问题；</w:t>
      </w:r>
      <w:r>
        <w:rPr>
          <w:rStyle w:val="49"/>
          <w:color w:val="000000" w:themeColor="text1"/>
          <w14:textFill>
            <w14:solidFill>
              <w14:schemeClr w14:val="tx1"/>
            </w14:solidFill>
          </w14:textFill>
        </w:rPr>
        <w:t>裁判</w:t>
      </w:r>
      <w:r>
        <w:rPr>
          <w:rStyle w:val="49"/>
          <w:rFonts w:hint="eastAsia"/>
          <w:color w:val="000000" w:themeColor="text1"/>
          <w14:textFill>
            <w14:solidFill>
              <w14:schemeClr w14:val="tx1"/>
            </w14:solidFill>
          </w14:textFill>
        </w:rPr>
        <w:t>可</w:t>
      </w:r>
      <w:r>
        <w:rPr>
          <w:rStyle w:val="49"/>
          <w:color w:val="000000" w:themeColor="text1"/>
          <w14:textFill>
            <w14:solidFill>
              <w14:schemeClr w14:val="tx1"/>
            </w14:solidFill>
          </w14:textFill>
        </w:rPr>
        <w:t>依据危险程度</w:t>
      </w:r>
      <w:r>
        <w:rPr>
          <w:rStyle w:val="49"/>
          <w:rFonts w:hint="eastAsia"/>
          <w:color w:val="000000" w:themeColor="text1"/>
          <w14:textFill>
            <w14:solidFill>
              <w14:schemeClr w14:val="tx1"/>
            </w14:solidFill>
          </w14:textFill>
        </w:rPr>
        <w:t>判断</w:t>
      </w:r>
      <w:r>
        <w:rPr>
          <w:rStyle w:val="49"/>
          <w:color w:val="000000" w:themeColor="text1"/>
          <w14:textFill>
            <w14:solidFill>
              <w14:schemeClr w14:val="tx1"/>
            </w14:solidFill>
          </w14:textFill>
        </w:rPr>
        <w:t>是否</w:t>
      </w:r>
      <w:r>
        <w:rPr>
          <w:rStyle w:val="49"/>
          <w:rFonts w:hint="eastAsia"/>
          <w:color w:val="000000" w:themeColor="text1"/>
          <w14:textFill>
            <w14:solidFill>
              <w14:schemeClr w14:val="tx1"/>
            </w14:solidFill>
          </w14:textFill>
        </w:rPr>
        <w:t>当场</w:t>
      </w:r>
      <w:r>
        <w:rPr>
          <w:rStyle w:val="49"/>
          <w:color w:val="000000" w:themeColor="text1"/>
          <w14:textFill>
            <w14:solidFill>
              <w14:schemeClr w14:val="tx1"/>
            </w14:solidFill>
          </w14:textFill>
        </w:rPr>
        <w:t>取消战队全场比赛资格</w:t>
      </w:r>
      <w:r>
        <w:t>。</w:t>
      </w:r>
    </w:p>
    <w:p>
      <w:pPr>
        <w:pStyle w:val="33"/>
        <w:spacing w:line="420" w:lineRule="exact"/>
      </w:pPr>
      <w:bookmarkStart w:id="15" w:name="_Toc146613851"/>
      <w:r>
        <w:t>操作规则</w:t>
      </w:r>
      <w:bookmarkEnd w:id="15"/>
    </w:p>
    <w:p>
      <w:pPr>
        <w:pStyle w:val="63"/>
      </w:pPr>
      <w:r>
        <w:rPr>
          <w:rFonts w:hint="eastAsia"/>
        </w:rPr>
        <w:t>机器人提前启动</w:t>
      </w:r>
    </w:p>
    <w:p>
      <w:pPr>
        <w:pStyle w:val="90"/>
        <w:ind w:firstLine="480"/>
      </w:pPr>
      <w:r>
        <w:rPr>
          <w:rFonts w:hint="eastAsia"/>
        </w:rPr>
        <w:t>参赛选手应在裁判宣布比赛开始后启动机器人。若机器人提前发生位移，则视为机器人提前启动。</w:t>
      </w:r>
    </w:p>
    <w:p>
      <w:pPr>
        <w:pStyle w:val="90"/>
        <w:numPr>
          <w:ilvl w:val="0"/>
          <w:numId w:val="11"/>
        </w:numPr>
        <w:ind w:firstLineChars="0"/>
      </w:pPr>
      <w:r>
        <w:rPr>
          <w:rFonts w:hint="eastAsia"/>
        </w:rPr>
        <w:t>违规判罚：违例。</w:t>
      </w:r>
    </w:p>
    <w:p>
      <w:pPr>
        <w:pStyle w:val="63"/>
      </w:pPr>
      <w:r>
        <w:rPr>
          <w:rFonts w:hint="eastAsia"/>
        </w:rPr>
        <w:t>违规使用电子通讯设备</w:t>
      </w:r>
    </w:p>
    <w:p>
      <w:pPr>
        <w:pStyle w:val="90"/>
        <w:ind w:firstLine="480"/>
      </w:pPr>
      <w:r>
        <w:rPr>
          <w:rFonts w:hint="eastAsia"/>
        </w:rPr>
        <w:t>不允许携带电子通讯设备（手机、对讲机、电脑、无线网络设备等）进入比赛区。</w:t>
      </w:r>
    </w:p>
    <w:p>
      <w:pPr>
        <w:pStyle w:val="90"/>
        <w:numPr>
          <w:ilvl w:val="0"/>
          <w:numId w:val="11"/>
        </w:numPr>
        <w:ind w:firstLineChars="0"/>
      </w:pPr>
      <w:r>
        <w:rPr>
          <w:rFonts w:hint="eastAsia"/>
        </w:rPr>
        <w:t>违规判罚：警告，严重者取消当场比赛成绩。</w:t>
      </w:r>
    </w:p>
    <w:p>
      <w:pPr>
        <w:pStyle w:val="63"/>
      </w:pPr>
      <w:r>
        <w:rPr>
          <w:rFonts w:hint="eastAsia"/>
        </w:rPr>
        <w:t>违规使用编程工具</w:t>
      </w:r>
    </w:p>
    <w:p>
      <w:pPr>
        <w:pStyle w:val="90"/>
        <w:ind w:firstLine="480"/>
      </w:pPr>
      <w:r>
        <w:t>比赛期间，战队不</w:t>
      </w:r>
      <w:r>
        <w:rPr>
          <w:rFonts w:hint="eastAsia"/>
        </w:rPr>
        <w:t>允许</w:t>
      </w:r>
      <w:r>
        <w:t>携带电脑、平板等可用于编程的工具进入</w:t>
      </w:r>
      <w:r>
        <w:rPr>
          <w:rFonts w:hint="eastAsia"/>
        </w:rPr>
        <w:t>比赛区</w:t>
      </w:r>
      <w:r>
        <w:t>。</w:t>
      </w:r>
    </w:p>
    <w:p>
      <w:pPr>
        <w:pStyle w:val="90"/>
        <w:numPr>
          <w:ilvl w:val="0"/>
          <w:numId w:val="11"/>
        </w:numPr>
        <w:ind w:firstLineChars="0"/>
      </w:pPr>
      <w:r>
        <w:rPr>
          <w:rFonts w:hint="eastAsia"/>
        </w:rPr>
        <w:t>违规判罚：严重者取消当场比赛成绩。</w:t>
      </w:r>
    </w:p>
    <w:p>
      <w:pPr>
        <w:pStyle w:val="63"/>
      </w:pPr>
      <w:r>
        <w:rPr>
          <w:rFonts w:hint="eastAsia"/>
        </w:rPr>
        <w:t>违规接触机器人</w:t>
      </w:r>
    </w:p>
    <w:p>
      <w:pPr>
        <w:pStyle w:val="90"/>
        <w:ind w:firstLine="480"/>
      </w:pPr>
      <w:r>
        <w:rPr>
          <w:rFonts w:hint="eastAsia"/>
        </w:rPr>
        <w:t>在比赛期间，参赛选手在任何时刻不得直接或间接接触机器人。</w:t>
      </w:r>
    </w:p>
    <w:p>
      <w:pPr>
        <w:pStyle w:val="90"/>
        <w:numPr>
          <w:ilvl w:val="0"/>
          <w:numId w:val="11"/>
        </w:numPr>
        <w:ind w:firstLineChars="0"/>
      </w:pPr>
      <w:r>
        <w:rPr>
          <w:rFonts w:hint="eastAsia"/>
        </w:rPr>
        <w:t>违规判罚：违例，情节严重者取消本场比赛资格。</w:t>
      </w:r>
    </w:p>
    <w:p>
      <w:pPr>
        <w:pStyle w:val="63"/>
      </w:pPr>
      <w:r>
        <w:rPr>
          <w:rFonts w:hint="eastAsia"/>
        </w:rPr>
        <w:t>违规接触道具</w:t>
      </w:r>
    </w:p>
    <w:p>
      <w:pPr>
        <w:pStyle w:val="90"/>
        <w:ind w:firstLine="480"/>
      </w:pPr>
      <w:r>
        <w:t>在比赛期间，</w:t>
      </w:r>
      <w:r>
        <w:rPr>
          <w:rFonts w:hint="eastAsia"/>
        </w:rPr>
        <w:t>参赛</w:t>
      </w:r>
      <w:r>
        <w:t>选手不可直接或间接接触任何场地道具。</w:t>
      </w:r>
    </w:p>
    <w:p>
      <w:pPr>
        <w:pStyle w:val="90"/>
        <w:numPr>
          <w:ilvl w:val="0"/>
          <w:numId w:val="11"/>
        </w:numPr>
        <w:ind w:firstLineChars="0"/>
      </w:pPr>
      <w:r>
        <w:rPr>
          <w:rFonts w:hint="eastAsia"/>
        </w:rPr>
        <w:t>违规判罚：违例，且得分道具失效，由裁判移除出场外。</w:t>
      </w:r>
    </w:p>
    <w:p>
      <w:pPr>
        <w:pStyle w:val="63"/>
      </w:pPr>
      <w:r>
        <w:rPr>
          <w:rFonts w:hint="eastAsia"/>
        </w:rPr>
        <w:t>刻意按压或撞击比赛场地</w:t>
      </w:r>
    </w:p>
    <w:p>
      <w:pPr>
        <w:pStyle w:val="90"/>
        <w:ind w:firstLine="480"/>
      </w:pPr>
      <w:r>
        <w:rPr>
          <w:rFonts w:hint="eastAsia"/>
        </w:rPr>
        <w:t>比赛期间，参赛选手不可故意按压或撞击比赛场地以取得比赛优势。</w:t>
      </w:r>
    </w:p>
    <w:p>
      <w:pPr>
        <w:pStyle w:val="90"/>
        <w:numPr>
          <w:ilvl w:val="0"/>
          <w:numId w:val="12"/>
        </w:numPr>
        <w:ind w:firstLineChars="0"/>
      </w:pPr>
      <w:r>
        <w:rPr>
          <w:rFonts w:hint="eastAsia"/>
        </w:rPr>
        <w:t>违规判罚：违例。且因违例行为取得的比赛得分无效。</w:t>
      </w:r>
    </w:p>
    <w:p>
      <w:pPr>
        <w:pStyle w:val="90"/>
        <w:numPr>
          <w:ilvl w:val="0"/>
          <w:numId w:val="0"/>
        </w:numPr>
        <w:rPr>
          <w:rFonts w:ascii="思源黑体 CN Heavy" w:hAnsi="思源黑体 CN Heavy" w:eastAsia="思源黑体 CN Heavy" w:cs="微软雅黑"/>
          <w:b/>
          <w:color w:val="2E75B6" w:themeColor="accent1" w:themeShade="BF"/>
          <w:lang w:val="en-US"/>
        </w:rPr>
      </w:pPr>
      <w:r>
        <w:rPr>
          <w:rFonts w:hint="eastAsia" w:ascii="思源黑体 CN Heavy" w:hAnsi="思源黑体 CN Heavy" w:eastAsia="思源黑体 CN Heavy" w:cs="微软雅黑"/>
          <w:b/>
          <w:color w:val="2E75B6" w:themeColor="accent1" w:themeShade="BF"/>
          <w:lang w:val="en-US"/>
        </w:rPr>
        <w:t>故意毁坏场地元素</w:t>
      </w:r>
    </w:p>
    <w:p>
      <w:pPr>
        <w:pStyle w:val="90"/>
        <w:ind w:firstLine="480"/>
      </w:pPr>
      <w:r>
        <w:t>在比赛全过程中，参赛</w:t>
      </w:r>
      <w:r>
        <w:rPr>
          <w:rFonts w:hint="eastAsia"/>
        </w:rPr>
        <w:t>选手、机器人不得故意毁坏</w:t>
      </w:r>
      <w:r>
        <w:t>场地</w:t>
      </w:r>
      <w:r>
        <w:rPr>
          <w:rFonts w:hint="eastAsia"/>
        </w:rPr>
        <w:t>元素</w:t>
      </w:r>
      <w:r>
        <w:t>。</w:t>
      </w:r>
    </w:p>
    <w:p>
      <w:pPr>
        <w:pStyle w:val="90"/>
        <w:numPr>
          <w:ilvl w:val="0"/>
          <w:numId w:val="12"/>
        </w:numPr>
        <w:ind w:firstLineChars="0"/>
      </w:pPr>
      <w:r>
        <w:rPr>
          <w:rFonts w:hint="eastAsia"/>
        </w:rPr>
        <w:t>违规判罚：违例。</w:t>
      </w:r>
    </w:p>
    <w:p>
      <w:pPr>
        <w:pStyle w:val="63"/>
      </w:pPr>
      <w:r>
        <w:rPr>
          <w:rFonts w:hint="eastAsia"/>
        </w:rPr>
        <w:t>得分道具违规离开赛台</w:t>
      </w:r>
    </w:p>
    <w:p>
      <w:pPr>
        <w:pStyle w:val="90"/>
        <w:ind w:firstLine="480"/>
      </w:pPr>
      <w:r>
        <w:rPr>
          <w:rFonts w:hint="eastAsia"/>
        </w:rPr>
        <w:t>单场比赛全程，得分道具在任意时刻的投影不得完全离开比赛场地。否则，该得分道具失效且无法再次被放回比赛场地内。</w:t>
      </w:r>
    </w:p>
    <w:p>
      <w:pPr>
        <w:pStyle w:val="63"/>
      </w:pPr>
      <w:r>
        <w:rPr>
          <w:rFonts w:hint="eastAsia"/>
        </w:rPr>
        <w:t>机器人违规离开赛台</w:t>
      </w:r>
    </w:p>
    <w:p>
      <w:pPr>
        <w:pStyle w:val="90"/>
        <w:ind w:firstLine="480"/>
      </w:pPr>
      <w:r>
        <w:rPr>
          <w:rFonts w:hint="eastAsia"/>
        </w:rPr>
        <w:t>单场比赛全程，机器人任意部分垂直投影不得离开比赛场地。</w:t>
      </w:r>
    </w:p>
    <w:p>
      <w:pPr>
        <w:pStyle w:val="90"/>
        <w:numPr>
          <w:ilvl w:val="0"/>
          <w:numId w:val="12"/>
        </w:numPr>
        <w:ind w:firstLineChars="0"/>
      </w:pPr>
      <w:r>
        <w:rPr>
          <w:rFonts w:hint="eastAsia"/>
        </w:rPr>
        <w:t>违规判罚：违例</w:t>
      </w:r>
    </w:p>
    <w:p>
      <w:pPr>
        <w:pStyle w:val="63"/>
      </w:pPr>
      <w:r>
        <w:t>违</w:t>
      </w:r>
      <w:r>
        <w:rPr>
          <w:rFonts w:hint="eastAsia"/>
        </w:rPr>
        <w:t>规</w:t>
      </w:r>
      <w:r>
        <w:t>指导</w:t>
      </w:r>
    </w:p>
    <w:p>
      <w:pPr>
        <w:pStyle w:val="90"/>
        <w:ind w:firstLine="480"/>
      </w:pPr>
      <w:r>
        <w:rPr>
          <w:rFonts w:hint="eastAsia"/>
        </w:rPr>
        <w:t>整场比赛过程中，包括参赛选手机器人搭建、调试等环节，均不得出现场外教练指导行为。</w:t>
      </w:r>
    </w:p>
    <w:p>
      <w:pPr>
        <w:pStyle w:val="90"/>
        <w:numPr>
          <w:ilvl w:val="0"/>
          <w:numId w:val="12"/>
        </w:numPr>
        <w:ind w:firstLineChars="0"/>
      </w:pPr>
      <w:r>
        <w:rPr>
          <w:rFonts w:hint="eastAsia"/>
        </w:rPr>
        <w:t>违规判罚：首次给予口头警告，情况严重者取消战队全场比赛资格。</w:t>
      </w:r>
    </w:p>
    <w:p>
      <w:pPr>
        <w:pStyle w:val="63"/>
      </w:pPr>
      <w:r>
        <w:t>过分行为</w:t>
      </w:r>
    </w:p>
    <w:p>
      <w:pPr>
        <w:pStyle w:val="90"/>
        <w:ind w:firstLine="480"/>
      </w:pPr>
      <w:r>
        <w:rPr>
          <w:rFonts w:hint="eastAsia"/>
        </w:rPr>
        <w:t>在全场比赛期间，出现包括但不限于以下情形的，情节恶劣者裁判有权取消全场比赛资格：</w:t>
      </w:r>
    </w:p>
    <w:p>
      <w:pPr>
        <w:pStyle w:val="30"/>
        <w:numPr>
          <w:ilvl w:val="0"/>
          <w:numId w:val="13"/>
        </w:numPr>
      </w:pPr>
      <w:r>
        <w:t>不礼貌行为（辱骂，脏话，肢体接触）。</w:t>
      </w:r>
    </w:p>
    <w:p>
      <w:pPr>
        <w:pStyle w:val="30"/>
        <w:numPr>
          <w:ilvl w:val="0"/>
          <w:numId w:val="13"/>
        </w:numPr>
      </w:pPr>
      <w:r>
        <w:t>严重影响比赛场地，观众安全导致比赛无法正常进行。</w:t>
      </w:r>
    </w:p>
    <w:p>
      <w:pPr>
        <w:pStyle w:val="30"/>
        <w:numPr>
          <w:ilvl w:val="0"/>
          <w:numId w:val="13"/>
        </w:numPr>
      </w:pPr>
      <w:r>
        <w:t>严重违反竞赛精神（作弊）。</w:t>
      </w:r>
    </w:p>
    <w:p>
      <w:pPr>
        <w:pStyle w:val="30"/>
        <w:numPr>
          <w:ilvl w:val="0"/>
          <w:numId w:val="13"/>
        </w:numPr>
      </w:pPr>
      <w:r>
        <w:t>重复或无视裁判警告，公然违例。</w:t>
      </w:r>
    </w:p>
    <w:p>
      <w:pPr>
        <w:pStyle w:val="30"/>
        <w:numPr>
          <w:ilvl w:val="0"/>
          <w:numId w:val="13"/>
        </w:numPr>
      </w:pPr>
      <w:r>
        <w:rPr>
          <w:rFonts w:hint="eastAsia"/>
        </w:rPr>
        <w:t>恶意投诉</w:t>
      </w:r>
    </w:p>
    <w:p>
      <w:pPr>
        <w:pStyle w:val="63"/>
      </w:pPr>
      <w:r>
        <w:rPr>
          <w:rFonts w:hint="eastAsia"/>
        </w:rPr>
        <w:t>异常状态</w:t>
      </w:r>
    </w:p>
    <w:p>
      <w:pPr>
        <w:pStyle w:val="90"/>
        <w:ind w:firstLine="480"/>
      </w:pPr>
      <w:r>
        <w:rPr>
          <w:rFonts w:hint="eastAsia"/>
        </w:rPr>
        <w:t>当出现包括但不限于如下状态时：</w:t>
      </w:r>
    </w:p>
    <w:p>
      <w:pPr>
        <w:pStyle w:val="90"/>
        <w:numPr>
          <w:ilvl w:val="0"/>
          <w:numId w:val="14"/>
        </w:numPr>
        <w:ind w:firstLineChars="0"/>
      </w:pPr>
      <w:r>
        <w:t>安全隐患：赛场内出现关于场地、参赛</w:t>
      </w:r>
      <w:r>
        <w:rPr>
          <w:rFonts w:hint="eastAsia"/>
        </w:rPr>
        <w:t>选手</w:t>
      </w:r>
      <w:r>
        <w:t>和机器人的安全隐患。</w:t>
      </w:r>
    </w:p>
    <w:p>
      <w:pPr>
        <w:pStyle w:val="90"/>
        <w:numPr>
          <w:ilvl w:val="0"/>
          <w:numId w:val="14"/>
        </w:numPr>
        <w:ind w:firstLineChars="0"/>
      </w:pPr>
      <w:r>
        <w:t>场地道具缺失或损坏：比赛场地和场地道具的缺失或损坏导致无法正常进行比赛。</w:t>
      </w:r>
    </w:p>
    <w:p>
      <w:pPr>
        <w:pStyle w:val="90"/>
        <w:numPr>
          <w:ilvl w:val="0"/>
          <w:numId w:val="14"/>
        </w:numPr>
        <w:ind w:firstLineChars="0"/>
      </w:pPr>
      <w:r>
        <w:t>重赛：重赛将由裁判根据实际情况慎重讨论决定。</w:t>
      </w:r>
    </w:p>
    <w:p>
      <w:pPr>
        <w:pStyle w:val="63"/>
      </w:pPr>
      <w:r>
        <w:rPr>
          <w:rFonts w:hint="eastAsia"/>
        </w:rPr>
        <w:t>场地、道具不确定性</w:t>
      </w:r>
    </w:p>
    <w:p>
      <w:pPr>
        <w:pStyle w:val="90"/>
        <w:ind w:firstLine="480"/>
      </w:pPr>
      <w:r>
        <w:t>在</w:t>
      </w:r>
      <w:r>
        <w:rPr>
          <w:rFonts w:hint="eastAsia"/>
        </w:rPr>
        <w:t>由于生产和加工的不确定性，所有道具及场地将存在不可避免的细微误差（尺寸、重量、颜色、平整度等）。战队在设计搭建机器人时，须考虑此误差因素，适应不同道具及场地。如现场有其他适配道具，参赛选手可在赛前申请替换。机器人应该能够适应如场地褶皱、灯光变化等不可改变的因素，凡因这些不可改变因素产生的机器人表现差异，战队应自行完成针对性调试。</w:t>
      </w:r>
    </w:p>
    <w:p>
      <w:pPr>
        <w:pStyle w:val="63"/>
      </w:pPr>
      <w:r>
        <w:rPr>
          <w:rFonts w:hint="eastAsia"/>
        </w:rPr>
        <w:t>突发情况弃赛</w:t>
      </w:r>
    </w:p>
    <w:p>
      <w:pPr>
        <w:pStyle w:val="90"/>
        <w:ind w:firstLine="480"/>
      </w:pPr>
      <w:r>
        <w:rPr>
          <w:rFonts w:hint="eastAsia"/>
        </w:rPr>
        <w:t>在报到之后，战队因不可抗力因素无法继续参赛，该战队须向组委会报备无法参赛原因。</w:t>
      </w:r>
    </w:p>
    <w:p>
      <w:pPr>
        <w:pStyle w:val="36"/>
        <w:numPr>
          <w:ilvl w:val="0"/>
          <w:numId w:val="0"/>
        </w:numPr>
        <w:spacing w:line="240" w:lineRule="auto"/>
      </w:pPr>
      <w:bookmarkStart w:id="16" w:name="_Toc146613863"/>
      <w:r>
        <w:rPr>
          <w:rFonts w:hint="eastAsia"/>
        </w:rPr>
        <w:t>附录：</w:t>
      </w:r>
      <w:bookmarkStart w:id="17" w:name="_Toc498182039"/>
      <w:bookmarkEnd w:id="17"/>
      <w:bookmarkStart w:id="18" w:name="_Toc498182041"/>
      <w:bookmarkEnd w:id="18"/>
      <w:bookmarkStart w:id="19" w:name="_Toc482311778"/>
      <w:bookmarkEnd w:id="19"/>
      <w:r>
        <w:rPr>
          <w:rFonts w:hint="eastAsia"/>
        </w:rPr>
        <w:t>参考计分表</w:t>
      </w:r>
      <w:bookmarkEnd w:id="16"/>
    </w:p>
    <w:p>
      <w:pPr>
        <w:widowControl/>
        <w:spacing w:line="240" w:lineRule="auto"/>
        <w:jc w:val="left"/>
        <w:rPr>
          <w:rFonts w:cs="微软雅黑"/>
          <w:sz w:val="24"/>
          <w:szCs w:val="21"/>
        </w:rPr>
      </w:pPr>
      <w:r>
        <w:drawing>
          <wp:inline distT="0" distB="0" distL="0" distR="0">
            <wp:extent cx="5278120" cy="4342765"/>
            <wp:effectExtent l="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278120" cy="4342765"/>
                    </a:xfrm>
                    <a:prstGeom prst="rect">
                      <a:avLst/>
                    </a:prstGeom>
                    <a:noFill/>
                  </pic:spPr>
                </pic:pic>
              </a:graphicData>
            </a:graphic>
          </wp:inline>
        </w:drawing>
      </w:r>
    </w:p>
    <w:sectPr>
      <w:headerReference r:id="rId7" w:type="first"/>
      <w:footerReference r:id="rId10" w:type="first"/>
      <w:headerReference r:id="rId5" w:type="default"/>
      <w:footerReference r:id="rId8" w:type="default"/>
      <w:headerReference r:id="rId6" w:type="even"/>
      <w:footerReference r:id="rId9" w:type="even"/>
      <w:pgSz w:w="11906" w:h="16838"/>
      <w:pgMar w:top="1440" w:right="1797" w:bottom="1440" w:left="1797"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auto"/>
    <w:pitch w:val="default"/>
    <w:sig w:usb0="E0002EFF" w:usb1="C000785B" w:usb2="00000009" w:usb3="00000000" w:csb0="400001FF" w:csb1="FFFF0000"/>
  </w:font>
  <w:font w:name="等线">
    <w:panose1 w:val="02010600030101010101"/>
    <w:charset w:val="86"/>
    <w:family w:val="auto"/>
    <w:pitch w:val="default"/>
    <w:sig w:usb0="A00002BF" w:usb1="38CF7CFA" w:usb2="00000016" w:usb3="00000000" w:csb0="0004000F" w:csb1="00000000"/>
  </w:font>
  <w:font w:name="思源黑体 CN Regular">
    <w:altName w:val="微软雅黑"/>
    <w:panose1 w:val="020B0500000000000000"/>
    <w:charset w:val="86"/>
    <w:family w:val="swiss"/>
    <w:pitch w:val="default"/>
    <w:sig w:usb0="00000000" w:usb1="00000000" w:usb2="00000016" w:usb3="00000000" w:csb0="00060107" w:csb1="00000000"/>
  </w:font>
  <w:font w:name="微软雅黑">
    <w:panose1 w:val="020B0503020204020204"/>
    <w:charset w:val="86"/>
    <w:family w:val="swiss"/>
    <w:pitch w:val="default"/>
    <w:sig w:usb0="80000287" w:usb1="2ACF3C50" w:usb2="00000016" w:usb3="00000000" w:csb0="0004001F" w:csb1="00000000"/>
  </w:font>
  <w:font w:name="等线 Light">
    <w:panose1 w:val="02010600030101010101"/>
    <w:charset w:val="86"/>
    <w:family w:val="auto"/>
    <w:pitch w:val="default"/>
    <w:sig w:usb0="A00002BF" w:usb1="38CF7CFA" w:usb2="00000016" w:usb3="00000000" w:csb0="0004000F" w:csb1="00000000"/>
  </w:font>
  <w:font w:name="思源黑体 CN Heavy">
    <w:altName w:val="黑体"/>
    <w:panose1 w:val="020B0A00000000000000"/>
    <w:charset w:val="86"/>
    <w:family w:val="swiss"/>
    <w:pitch w:val="default"/>
    <w:sig w:usb0="00000000" w:usb1="00000000" w:usb2="00000016" w:usb3="00000000" w:csb0="00060107" w:csb1="00000000"/>
  </w:font>
  <w:font w:name="Lucida Grande">
    <w:altName w:val="Courier New"/>
    <w:panose1 w:val="00000000000000000000"/>
    <w:charset w:val="00"/>
    <w:family w:val="swiss"/>
    <w:pitch w:val="default"/>
    <w:sig w:usb0="00000000" w:usb1="00000000" w:usb2="00000000" w:usb3="00000000" w:csb0="000001BF" w:csb1="00000000"/>
  </w:font>
  <w:font w:name="MS Mincho">
    <w:panose1 w:val="02020609040205080304"/>
    <w:charset w:val="80"/>
    <w:family w:val="modern"/>
    <w:pitch w:val="default"/>
    <w:sig w:usb0="A00002BF" w:usb1="68C7FCFB" w:usb2="00000010"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tabs>
        <w:tab w:val="center" w:pos="4156"/>
        <w:tab w:val="left" w:pos="5640"/>
        <w:tab w:val="clear" w:pos="4153"/>
        <w:tab w:val="clear" w:pos="8306"/>
      </w:tabs>
      <w:rPr>
        <w:b/>
        <w:color w:val="50B0CA"/>
        <w:sz w:val="21"/>
      </w:rPr>
    </w:pPr>
    <w:r>
      <w:drawing>
        <wp:anchor distT="0" distB="0" distL="114300" distR="114300" simplePos="0" relativeHeight="251665408" behindDoc="1" locked="0" layoutInCell="1" allowOverlap="1">
          <wp:simplePos x="0" y="0"/>
          <wp:positionH relativeFrom="margin">
            <wp:align>left</wp:align>
          </wp:positionH>
          <wp:positionV relativeFrom="paragraph">
            <wp:posOffset>-47625</wp:posOffset>
          </wp:positionV>
          <wp:extent cx="5266690" cy="377190"/>
          <wp:effectExtent l="0" t="0" r="0" b="0"/>
          <wp:wrapNone/>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266707" cy="377279"/>
                  </a:xfrm>
                  <a:prstGeom prst="rect">
                    <a:avLst/>
                  </a:prstGeom>
                </pic:spPr>
              </pic:pic>
            </a:graphicData>
          </a:graphic>
        </wp:anchor>
      </w:drawing>
    </w:r>
    <w:r>
      <w:tab/>
    </w:r>
    <w:sdt>
      <w:sdtPr>
        <w:id w:val="1547793488"/>
        <w:docPartObj>
          <w:docPartGallery w:val="autotext"/>
        </w:docPartObj>
      </w:sdtPr>
      <w:sdtEndPr>
        <w:rPr>
          <w:b/>
          <w:color w:val="50B0CA"/>
          <w:sz w:val="21"/>
        </w:rPr>
      </w:sdtEndPr>
      <w:sdtContent>
        <w:r>
          <w:rPr>
            <w:rFonts w:eastAsia="微软雅黑"/>
            <w:b/>
            <w:color w:val="D64B40"/>
            <w:sz w:val="21"/>
          </w:rPr>
          <w:fldChar w:fldCharType="begin"/>
        </w:r>
        <w:r>
          <w:rPr>
            <w:rFonts w:eastAsia="微软雅黑"/>
            <w:b/>
            <w:color w:val="D64B40"/>
            <w:sz w:val="21"/>
          </w:rPr>
          <w:instrText xml:space="preserve"> PAGE   \* MERGEFORMAT </w:instrText>
        </w:r>
        <w:r>
          <w:rPr>
            <w:rFonts w:eastAsia="微软雅黑"/>
            <w:b/>
            <w:color w:val="D64B40"/>
            <w:sz w:val="21"/>
          </w:rPr>
          <w:fldChar w:fldCharType="separate"/>
        </w:r>
        <w:r>
          <w:rPr>
            <w:rFonts w:eastAsia="微软雅黑"/>
            <w:b/>
            <w:color w:val="D64B40"/>
            <w:sz w:val="21"/>
          </w:rPr>
          <w:t>38</w:t>
        </w:r>
        <w:r>
          <w:rPr>
            <w:rFonts w:eastAsia="微软雅黑"/>
            <w:b/>
            <w:color w:val="D64B40"/>
            <w:sz w:val="21"/>
          </w:rPr>
          <w:fldChar w:fldCharType="end"/>
        </w:r>
      </w:sdtContent>
    </w:sdt>
    <w:r>
      <w:rPr>
        <w:b/>
        <w:color w:val="50B0CA"/>
        <w:sz w:val="21"/>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26247665"/>
      <w:docPartObj>
        <w:docPartGallery w:val="autotext"/>
      </w:docPartObj>
    </w:sdtPr>
    <w:sdtContent>
      <w:p>
        <w:pPr>
          <w:pStyle w:val="10"/>
          <w:jc w:val="center"/>
          <w:rPr>
            <w:rFonts w:eastAsia="微软雅黑"/>
          </w:rPr>
        </w:pPr>
        <w:r>
          <w:rPr>
            <w:rFonts w:eastAsia="微软雅黑"/>
          </w:rPr>
          <w:fldChar w:fldCharType="begin"/>
        </w:r>
        <w:r>
          <w:rPr>
            <w:rFonts w:eastAsia="微软雅黑"/>
          </w:rPr>
          <w:instrText xml:space="preserve"> PAGE   \* MERGEFORMAT </w:instrText>
        </w:r>
        <w:r>
          <w:rPr>
            <w:rFonts w:eastAsia="微软雅黑"/>
          </w:rPr>
          <w:fldChar w:fldCharType="separate"/>
        </w:r>
        <w:r>
          <w:rPr>
            <w:rFonts w:eastAsia="微软雅黑"/>
          </w:rPr>
          <w:t>47</w:t>
        </w:r>
        <w:r>
          <w:rPr>
            <w:rFonts w:eastAsia="微软雅黑"/>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772739916"/>
      <w:docPartObj>
        <w:docPartGallery w:val="autotext"/>
      </w:docPartObj>
    </w:sdtPr>
    <w:sdtContent>
      <w:p>
        <w:pPr>
          <w:pStyle w:val="10"/>
          <w:jc w:val="center"/>
        </w:pPr>
        <w:r>
          <w:fldChar w:fldCharType="begin"/>
        </w:r>
        <w:r>
          <w:instrText xml:space="preserve"> PAGE   \* MERGEFORMAT </w:instrText>
        </w:r>
        <w:r>
          <w:fldChar w:fldCharType="separate"/>
        </w:r>
        <w:r>
          <w:t>1</w:t>
        </w:r>
        <w:r>
          <w:fldChar w:fldCharType="end"/>
        </w:r>
      </w:p>
    </w:sdtContent>
  </w:sdt>
  <w:p>
    <w:pPr>
      <w:pStyle w:val="1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jc w:val="left"/>
      <w:rPr>
        <w:rFonts w:ascii="Times New Roman" w:hAnsi="Times New Roman" w:eastAsia="Times New Roman" w:cs="Times New Roman"/>
        <w:color w:val="D64B40"/>
        <w:kern w:val="0"/>
      </w:rPr>
    </w:pPr>
    <w:r>
      <w:rPr>
        <w:b/>
        <w:bCs/>
        <w:color w:val="D64B40"/>
        <w:sz w:val="18"/>
        <w:szCs w:val="18"/>
      </w:rPr>
      <w:drawing>
        <wp:anchor distT="0" distB="0" distL="114300" distR="114300" simplePos="0" relativeHeight="251664384" behindDoc="1" locked="0" layoutInCell="1" allowOverlap="1">
          <wp:simplePos x="0" y="0"/>
          <wp:positionH relativeFrom="column">
            <wp:posOffset>-3175</wp:posOffset>
          </wp:positionH>
          <wp:positionV relativeFrom="paragraph">
            <wp:posOffset>0</wp:posOffset>
          </wp:positionV>
          <wp:extent cx="5269230" cy="374650"/>
          <wp:effectExtent l="0" t="0" r="0" b="6985"/>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269467" cy="374649"/>
                  </a:xfrm>
                  <a:prstGeom prst="rect">
                    <a:avLst/>
                  </a:prstGeom>
                  <a:noFill/>
                  <a:ln>
                    <a:noFill/>
                  </a:ln>
                </pic:spPr>
              </pic:pic>
            </a:graphicData>
          </a:graphic>
        </wp:anchor>
      </w:drawing>
    </w:r>
    <w:r>
      <w:rPr>
        <w:rFonts w:cs="Lucida Grande"/>
        <w:b/>
        <w:bCs/>
        <w:color w:val="D64B40"/>
        <w:kern w:val="0"/>
        <w:sz w:val="18"/>
        <w:szCs w:val="18"/>
        <w:shd w:val="clear" w:color="auto" w:fill="FFFFFF"/>
      </w:rPr>
      <w:t>MakeX</w:t>
    </w:r>
    <w:r>
      <w:rPr>
        <w:rFonts w:cs="MS Mincho"/>
        <w:b/>
        <w:bCs/>
        <w:color w:val="D64B40"/>
        <w:kern w:val="0"/>
        <w:sz w:val="18"/>
        <w:szCs w:val="18"/>
        <w:shd w:val="clear" w:color="auto" w:fill="FFFFFF"/>
      </w:rPr>
      <w:t>机器人挑</w:t>
    </w:r>
    <w:r>
      <w:rPr>
        <w:rFonts w:cs="宋体"/>
        <w:b/>
        <w:bCs/>
        <w:color w:val="D64B40"/>
        <w:kern w:val="0"/>
        <w:sz w:val="18"/>
        <w:szCs w:val="18"/>
        <w:shd w:val="clear" w:color="auto" w:fill="FFFFFF"/>
      </w:rPr>
      <w:t>战赛</w:t>
    </w:r>
    <w:r>
      <w:rPr>
        <w:rFonts w:ascii="宋体" w:hAnsi="宋体" w:eastAsia="宋体" w:cs="宋体"/>
        <w:color w:val="000000"/>
        <w:kern w:val="0"/>
        <w:sz w:val="18"/>
        <w:szCs w:val="18"/>
        <w:shd w:val="clear" w:color="auto" w:fill="FFFFFF"/>
      </w:rPr>
      <w:t xml:space="preserve"> </w:t>
    </w:r>
    <w:r>
      <w:ptab w:relativeTo="margin" w:alignment="center" w:leader="none"/>
    </w:r>
    <w:r>
      <w:ptab w:relativeTo="margin" w:alignment="right" w:leader="none"/>
    </w:r>
    <w:r>
      <w:rPr>
        <w:rFonts w:hint="eastAsia" w:cs="宋体"/>
        <w:b/>
        <w:color w:val="D64B40"/>
        <w:kern w:val="0"/>
        <w:sz w:val="18"/>
        <w:szCs w:val="18"/>
        <w:shd w:val="clear" w:color="auto" w:fill="FFFFFF"/>
      </w:rPr>
      <w:t>智慧物流</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left"/>
      <w:rPr>
        <w:rFonts w:eastAsia="微软雅黑"/>
        <w:sz w:val="18"/>
      </w:rPr>
    </w:pPr>
    <w:r>
      <w:rPr>
        <w:sz w:val="18"/>
      </w:rPr>
      <w:pict>
        <v:shape id="WordPictureWatermark106075504" o:spid="_x0000_s2120" o:spt="75" type="#_x0000_t75" style="position:absolute;left:0pt;height:476.35pt;width:673.5pt;mso-position-horizontal:center;mso-position-horizontal-relative:margin;mso-position-vertical:center;mso-position-vertical-relative:margin;z-index:-251654144;mso-width-relative:page;mso-height-relative:page;" filled="f" o:preferrelative="t" stroked="f" coordsize="21600,21600" o:allowincell="f">
          <v:path/>
          <v:fill on="f" focussize="0,0"/>
          <v:stroke on="f" joinstyle="miter"/>
          <v:imagedata r:id="rId1" gain="19661f" blacklevel="22938f" o:title="1"/>
          <o:lock v:ext="edit" aspectratio="t"/>
        </v:shape>
      </w:pict>
    </w:r>
    <w:r>
      <w:rPr>
        <w:sz w:val="18"/>
      </w:rPr>
      <w:pict>
        <v:shape id="_x0000_s2074" o:spid="_x0000_s2074" o:spt="75" type="#_x0000_t75" style="position:absolute;left:0pt;height:107.95pt;width:415.45pt;mso-position-horizontal:center;mso-position-horizontal-relative:margin;mso-position-vertical:center;mso-position-vertical-relative:margin;z-index:-251653120;mso-width-relative:page;mso-height-relative:page;" filled="f" o:preferrelative="t" stroked="f" coordsize="21600,21600" o:allowincell="f">
          <v:path/>
          <v:fill on="f" focussize="0,0"/>
          <v:stroke on="f" joinstyle="miter"/>
          <v:imagedata r:id="rId2" gain="19661f" blacklevel="22938f" o:title="1"/>
          <o:lock v:ext="edit" aspectratio="t"/>
        </v:shape>
      </w:pict>
    </w:r>
    <w:r>
      <w:rPr>
        <w:sz w:val="18"/>
      </w:rPr>
      <w:t>M</w:t>
    </w:r>
    <w:r>
      <w:rPr>
        <w:rFonts w:hint="eastAsia"/>
        <w:sz w:val="18"/>
      </w:rPr>
      <w:t>ake</w:t>
    </w:r>
    <w:r>
      <w:rPr>
        <w:sz w:val="18"/>
      </w:rPr>
      <w:t>X</w:t>
    </w:r>
    <w:r>
      <w:rPr>
        <w:rFonts w:hint="eastAsia" w:eastAsia="思源黑体 CN Heavy"/>
        <w:sz w:val="18"/>
      </w:rPr>
      <w:t>机器人</w:t>
    </w:r>
    <w:r>
      <w:rPr>
        <w:rFonts w:hint="eastAsia"/>
        <w:sz w:val="18"/>
      </w:rPr>
      <w:t>挑战赛—智慧交通技术手册</w:t>
    </w:r>
    <w:r>
      <w:rPr>
        <w:rFonts w:eastAsia="微软雅黑"/>
        <w:sz w:val="18"/>
      </w:rPr>
      <w:drawing>
        <wp:anchor distT="0" distB="0" distL="114300" distR="114300" simplePos="0" relativeHeight="251659264" behindDoc="1" locked="0" layoutInCell="0" allowOverlap="1">
          <wp:simplePos x="0" y="0"/>
          <wp:positionH relativeFrom="margin">
            <wp:align>center</wp:align>
          </wp:positionH>
          <wp:positionV relativeFrom="margin">
            <wp:align>center</wp:align>
          </wp:positionV>
          <wp:extent cx="5273675" cy="1370330"/>
          <wp:effectExtent l="0" t="0" r="0" b="0"/>
          <wp:wrapNone/>
          <wp:docPr id="59" name="Picture 59" descr="mak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makex"/>
                  <pic:cNvPicPr>
                    <a:picLocks noChangeAspect="1" noChangeArrowheads="1"/>
                  </pic:cNvPicPr>
                </pic:nvPicPr>
                <pic:blipFill>
                  <a:blip r:embed="rId3">
                    <a:lum bright="70000" contrast="-70000"/>
                    <a:extLst>
                      <a:ext uri="{28A0092B-C50C-407E-A947-70E740481C1C}">
                        <a14:useLocalDpi xmlns:a14="http://schemas.microsoft.com/office/drawing/2010/main" val="0"/>
                      </a:ext>
                    </a:extLst>
                  </a:blip>
                  <a:srcRect/>
                  <a:stretch>
                    <a:fillRect/>
                  </a:stretch>
                </pic:blipFill>
                <pic:spPr>
                  <a:xfrm>
                    <a:off x="0" y="0"/>
                    <a:ext cx="5273675" cy="1370330"/>
                  </a:xfrm>
                  <a:prstGeom prst="rect">
                    <a:avLst/>
                  </a:prstGeom>
                  <a:noFill/>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left"/>
      <w:rPr>
        <w:rFonts w:eastAsia="微软雅黑"/>
      </w:rPr>
    </w:pPr>
    <w:r>
      <w:pict>
        <v:shape id="WordPictureWatermark106075503" o:spid="_x0000_s2119" o:spt="75" type="#_x0000_t75" style="position:absolute;left:0pt;height:476.35pt;width:673.5pt;mso-position-horizontal:center;mso-position-horizontal-relative:margin;mso-position-vertical:center;mso-position-vertical-relative:margin;z-index:-251656192;mso-width-relative:page;mso-height-relative:page;" filled="f" o:preferrelative="t" stroked="f" coordsize="21600,21600" o:allowincell="f">
          <v:path/>
          <v:fill on="f" focussize="0,0"/>
          <v:stroke on="f" joinstyle="miter"/>
          <v:imagedata r:id="rId1" gain="19661f" blacklevel="22938f" o:title="1"/>
          <o:lock v:ext="edit" aspectratio="t"/>
        </v:shape>
      </w:pict>
    </w:r>
    <w:r>
      <w:t>M</w:t>
    </w:r>
    <w:r>
      <w:rPr>
        <w:rFonts w:hint="eastAsia"/>
      </w:rPr>
      <w:t>ake</w:t>
    </w:r>
    <w:r>
      <w:t>X</w:t>
    </w:r>
    <w:r>
      <w:rPr>
        <w:rFonts w:hint="eastAsia" w:eastAsia="思源黑体 CN Heavy"/>
      </w:rPr>
      <w:t>机器人</w:t>
    </w:r>
    <w:r>
      <w:rPr>
        <w:rFonts w:hint="eastAsia"/>
      </w:rPr>
      <w:t>挑战赛—智慧交通技术手册</w:t>
    </w:r>
    <w:r>
      <w:rPr>
        <w:rFonts w:eastAsia="微软雅黑"/>
      </w:rPr>
      <w:pict>
        <v:shape id="_x0000_s2057" o:spid="_x0000_s2057" o:spt="75" type="#_x0000_t75" style="position:absolute;left:0pt;height:107.9pt;width:415.25pt;mso-position-horizontal:center;mso-position-horizontal-relative:margin;mso-position-vertical:center;mso-position-vertical-relative:margin;z-index:-251655168;mso-width-relative:page;mso-height-relative:page;" filled="f" o:preferrelative="t" stroked="f" coordsize="21600,21600" o:allowincell="f">
          <v:path/>
          <v:fill on="f" focussize="0,0"/>
          <v:stroke on="f" joinstyle="miter"/>
          <v:imagedata r:id="rId2" gain="19661f" blacklevel="22938f" o:title="makex"/>
          <o:lock v:ext="edit" aspectratio="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7A92123"/>
    <w:multiLevelType w:val="multilevel"/>
    <w:tmpl w:val="07A92123"/>
    <w:lvl w:ilvl="0" w:tentative="0">
      <w:start w:val="1"/>
      <w:numFmt w:val="decimal"/>
      <w:pStyle w:val="36"/>
      <w:lvlText w:val="%1. "/>
      <w:lvlJc w:val="left"/>
      <w:pPr>
        <w:ind w:left="420" w:hanging="420"/>
      </w:pPr>
      <w:rPr>
        <w:rFonts w:hint="eastAsia"/>
      </w:rPr>
    </w:lvl>
    <w:lvl w:ilvl="1" w:tentative="0">
      <w:start w:val="1"/>
      <w:numFmt w:val="decimal"/>
      <w:pStyle w:val="33"/>
      <w:lvlText w:val="%1.%2"/>
      <w:lvlJc w:val="left"/>
      <w:pPr>
        <w:ind w:left="704"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
    <w:nsid w:val="0A9E0322"/>
    <w:multiLevelType w:val="multilevel"/>
    <w:tmpl w:val="0A9E0322"/>
    <w:lvl w:ilvl="0" w:tentative="0">
      <w:start w:val="1"/>
      <w:numFmt w:val="bullet"/>
      <w:lvlText w:val=""/>
      <w:lvlJc w:val="left"/>
      <w:pPr>
        <w:ind w:left="1680" w:hanging="420"/>
      </w:pPr>
      <w:rPr>
        <w:rFonts w:hint="default" w:ascii="Wingdings" w:hAnsi="Wingdings"/>
      </w:rPr>
    </w:lvl>
    <w:lvl w:ilvl="1" w:tentative="0">
      <w:start w:val="1"/>
      <w:numFmt w:val="bullet"/>
      <w:lvlText w:val=""/>
      <w:lvlJc w:val="left"/>
      <w:pPr>
        <w:ind w:left="2100" w:hanging="420"/>
      </w:pPr>
      <w:rPr>
        <w:rFonts w:hint="default" w:ascii="Wingdings" w:hAnsi="Wingdings"/>
      </w:rPr>
    </w:lvl>
    <w:lvl w:ilvl="2" w:tentative="0">
      <w:start w:val="1"/>
      <w:numFmt w:val="bullet"/>
      <w:lvlText w:val=""/>
      <w:lvlJc w:val="left"/>
      <w:pPr>
        <w:ind w:left="2520" w:hanging="420"/>
      </w:pPr>
      <w:rPr>
        <w:rFonts w:hint="default" w:ascii="Wingdings" w:hAnsi="Wingdings"/>
      </w:rPr>
    </w:lvl>
    <w:lvl w:ilvl="3" w:tentative="0">
      <w:start w:val="1"/>
      <w:numFmt w:val="bullet"/>
      <w:lvlText w:val=""/>
      <w:lvlJc w:val="left"/>
      <w:pPr>
        <w:ind w:left="2940" w:hanging="420"/>
      </w:pPr>
      <w:rPr>
        <w:rFonts w:hint="default" w:ascii="Wingdings" w:hAnsi="Wingdings"/>
      </w:rPr>
    </w:lvl>
    <w:lvl w:ilvl="4" w:tentative="0">
      <w:start w:val="1"/>
      <w:numFmt w:val="bullet"/>
      <w:lvlText w:val=""/>
      <w:lvlJc w:val="left"/>
      <w:pPr>
        <w:ind w:left="3360" w:hanging="420"/>
      </w:pPr>
      <w:rPr>
        <w:rFonts w:hint="default" w:ascii="Wingdings" w:hAnsi="Wingdings"/>
      </w:rPr>
    </w:lvl>
    <w:lvl w:ilvl="5" w:tentative="0">
      <w:start w:val="1"/>
      <w:numFmt w:val="bullet"/>
      <w:lvlText w:val=""/>
      <w:lvlJc w:val="left"/>
      <w:pPr>
        <w:ind w:left="3780" w:hanging="420"/>
      </w:pPr>
      <w:rPr>
        <w:rFonts w:hint="default" w:ascii="Wingdings" w:hAnsi="Wingdings"/>
      </w:rPr>
    </w:lvl>
    <w:lvl w:ilvl="6" w:tentative="0">
      <w:start w:val="1"/>
      <w:numFmt w:val="bullet"/>
      <w:lvlText w:val=""/>
      <w:lvlJc w:val="left"/>
      <w:pPr>
        <w:ind w:left="4200" w:hanging="420"/>
      </w:pPr>
      <w:rPr>
        <w:rFonts w:hint="default" w:ascii="Wingdings" w:hAnsi="Wingdings"/>
      </w:rPr>
    </w:lvl>
    <w:lvl w:ilvl="7" w:tentative="0">
      <w:start w:val="1"/>
      <w:numFmt w:val="bullet"/>
      <w:lvlText w:val=""/>
      <w:lvlJc w:val="left"/>
      <w:pPr>
        <w:ind w:left="4620" w:hanging="420"/>
      </w:pPr>
      <w:rPr>
        <w:rFonts w:hint="default" w:ascii="Wingdings" w:hAnsi="Wingdings"/>
      </w:rPr>
    </w:lvl>
    <w:lvl w:ilvl="8" w:tentative="0">
      <w:start w:val="1"/>
      <w:numFmt w:val="bullet"/>
      <w:lvlText w:val=""/>
      <w:lvlJc w:val="left"/>
      <w:pPr>
        <w:ind w:left="5040" w:hanging="420"/>
      </w:pPr>
      <w:rPr>
        <w:rFonts w:hint="default" w:ascii="Wingdings" w:hAnsi="Wingdings"/>
      </w:rPr>
    </w:lvl>
  </w:abstractNum>
  <w:abstractNum w:abstractNumId="2">
    <w:nsid w:val="14ED7933"/>
    <w:multiLevelType w:val="multilevel"/>
    <w:tmpl w:val="14ED7933"/>
    <w:lvl w:ilvl="0" w:tentative="0">
      <w:start w:val="1"/>
      <w:numFmt w:val="decimalZero"/>
      <w:pStyle w:val="47"/>
      <w:lvlText w:val="R%1. "/>
      <w:lvlJc w:val="left"/>
      <w:pPr>
        <w:ind w:left="1213" w:hanging="362"/>
      </w:pPr>
      <w:rPr>
        <w:rFonts w:hint="eastAsia" w:ascii="Times New Roman" w:hAnsi="Times New Roman" w:cs="Times New Roman"/>
        <w:b/>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1" w:tentative="0">
      <w:start w:val="1"/>
      <w:numFmt w:val="lowerLetter"/>
      <w:lvlText w:val="%2."/>
      <w:lvlJc w:val="left"/>
      <w:pPr>
        <w:ind w:left="1440" w:hanging="362"/>
      </w:pPr>
      <w:rPr>
        <w:rFonts w:hint="eastAsia"/>
      </w:rPr>
    </w:lvl>
    <w:lvl w:ilvl="2" w:tentative="0">
      <w:start w:val="1"/>
      <w:numFmt w:val="lowerRoman"/>
      <w:lvlText w:val="%3."/>
      <w:lvlJc w:val="right"/>
      <w:pPr>
        <w:ind w:left="1667" w:hanging="362"/>
      </w:pPr>
      <w:rPr>
        <w:rFonts w:hint="eastAsia"/>
      </w:rPr>
    </w:lvl>
    <w:lvl w:ilvl="3" w:tentative="0">
      <w:start w:val="1"/>
      <w:numFmt w:val="decimal"/>
      <w:lvlText w:val="%4."/>
      <w:lvlJc w:val="left"/>
      <w:pPr>
        <w:ind w:left="1894" w:hanging="362"/>
      </w:pPr>
      <w:rPr>
        <w:rFonts w:hint="eastAsia"/>
      </w:rPr>
    </w:lvl>
    <w:lvl w:ilvl="4" w:tentative="0">
      <w:start w:val="1"/>
      <w:numFmt w:val="lowerLetter"/>
      <w:lvlText w:val="%5."/>
      <w:lvlJc w:val="left"/>
      <w:pPr>
        <w:ind w:left="2121" w:hanging="362"/>
      </w:pPr>
      <w:rPr>
        <w:rFonts w:hint="eastAsia"/>
      </w:rPr>
    </w:lvl>
    <w:lvl w:ilvl="5" w:tentative="0">
      <w:start w:val="1"/>
      <w:numFmt w:val="lowerRoman"/>
      <w:lvlText w:val="%6."/>
      <w:lvlJc w:val="right"/>
      <w:pPr>
        <w:ind w:left="2348" w:hanging="362"/>
      </w:pPr>
      <w:rPr>
        <w:rFonts w:hint="eastAsia"/>
      </w:rPr>
    </w:lvl>
    <w:lvl w:ilvl="6" w:tentative="0">
      <w:start w:val="1"/>
      <w:numFmt w:val="decimal"/>
      <w:lvlText w:val="%7."/>
      <w:lvlJc w:val="left"/>
      <w:pPr>
        <w:ind w:left="2575" w:hanging="362"/>
      </w:pPr>
      <w:rPr>
        <w:rFonts w:hint="eastAsia"/>
      </w:rPr>
    </w:lvl>
    <w:lvl w:ilvl="7" w:tentative="0">
      <w:start w:val="1"/>
      <w:numFmt w:val="lowerLetter"/>
      <w:lvlText w:val="%8."/>
      <w:lvlJc w:val="left"/>
      <w:pPr>
        <w:ind w:left="2802" w:hanging="362"/>
      </w:pPr>
      <w:rPr>
        <w:rFonts w:hint="eastAsia"/>
      </w:rPr>
    </w:lvl>
    <w:lvl w:ilvl="8" w:tentative="0">
      <w:start w:val="1"/>
      <w:numFmt w:val="lowerRoman"/>
      <w:lvlText w:val="%9."/>
      <w:lvlJc w:val="right"/>
      <w:pPr>
        <w:ind w:left="3029" w:hanging="362"/>
      </w:pPr>
      <w:rPr>
        <w:rFonts w:hint="eastAsia"/>
      </w:rPr>
    </w:lvl>
  </w:abstractNum>
  <w:abstractNum w:abstractNumId="3">
    <w:nsid w:val="1D98012E"/>
    <w:multiLevelType w:val="multilevel"/>
    <w:tmpl w:val="1D98012E"/>
    <w:lvl w:ilvl="0" w:tentative="0">
      <w:start w:val="1"/>
      <w:numFmt w:val="bullet"/>
      <w:lvlText w:val=""/>
      <w:lvlJc w:val="left"/>
      <w:pPr>
        <w:ind w:left="1680" w:hanging="420"/>
      </w:pPr>
      <w:rPr>
        <w:rFonts w:hint="default" w:ascii="Wingdings" w:hAnsi="Wingdings"/>
      </w:rPr>
    </w:lvl>
    <w:lvl w:ilvl="1" w:tentative="0">
      <w:start w:val="1"/>
      <w:numFmt w:val="bullet"/>
      <w:lvlText w:val=""/>
      <w:lvlJc w:val="left"/>
      <w:pPr>
        <w:ind w:left="2100" w:hanging="420"/>
      </w:pPr>
      <w:rPr>
        <w:rFonts w:hint="default" w:ascii="Wingdings" w:hAnsi="Wingdings"/>
      </w:rPr>
    </w:lvl>
    <w:lvl w:ilvl="2" w:tentative="0">
      <w:start w:val="1"/>
      <w:numFmt w:val="bullet"/>
      <w:lvlText w:val=""/>
      <w:lvlJc w:val="left"/>
      <w:pPr>
        <w:ind w:left="2520" w:hanging="420"/>
      </w:pPr>
      <w:rPr>
        <w:rFonts w:hint="default" w:ascii="Wingdings" w:hAnsi="Wingdings"/>
      </w:rPr>
    </w:lvl>
    <w:lvl w:ilvl="3" w:tentative="0">
      <w:start w:val="1"/>
      <w:numFmt w:val="bullet"/>
      <w:lvlText w:val=""/>
      <w:lvlJc w:val="left"/>
      <w:pPr>
        <w:ind w:left="2940" w:hanging="420"/>
      </w:pPr>
      <w:rPr>
        <w:rFonts w:hint="default" w:ascii="Wingdings" w:hAnsi="Wingdings"/>
      </w:rPr>
    </w:lvl>
    <w:lvl w:ilvl="4" w:tentative="0">
      <w:start w:val="1"/>
      <w:numFmt w:val="bullet"/>
      <w:lvlText w:val=""/>
      <w:lvlJc w:val="left"/>
      <w:pPr>
        <w:ind w:left="3360" w:hanging="420"/>
      </w:pPr>
      <w:rPr>
        <w:rFonts w:hint="default" w:ascii="Wingdings" w:hAnsi="Wingdings"/>
      </w:rPr>
    </w:lvl>
    <w:lvl w:ilvl="5" w:tentative="0">
      <w:start w:val="1"/>
      <w:numFmt w:val="bullet"/>
      <w:lvlText w:val=""/>
      <w:lvlJc w:val="left"/>
      <w:pPr>
        <w:ind w:left="3780" w:hanging="420"/>
      </w:pPr>
      <w:rPr>
        <w:rFonts w:hint="default" w:ascii="Wingdings" w:hAnsi="Wingdings"/>
      </w:rPr>
    </w:lvl>
    <w:lvl w:ilvl="6" w:tentative="0">
      <w:start w:val="1"/>
      <w:numFmt w:val="bullet"/>
      <w:lvlText w:val=""/>
      <w:lvlJc w:val="left"/>
      <w:pPr>
        <w:ind w:left="4200" w:hanging="420"/>
      </w:pPr>
      <w:rPr>
        <w:rFonts w:hint="default" w:ascii="Wingdings" w:hAnsi="Wingdings"/>
      </w:rPr>
    </w:lvl>
    <w:lvl w:ilvl="7" w:tentative="0">
      <w:start w:val="1"/>
      <w:numFmt w:val="bullet"/>
      <w:lvlText w:val=""/>
      <w:lvlJc w:val="left"/>
      <w:pPr>
        <w:ind w:left="4620" w:hanging="420"/>
      </w:pPr>
      <w:rPr>
        <w:rFonts w:hint="default" w:ascii="Wingdings" w:hAnsi="Wingdings"/>
      </w:rPr>
    </w:lvl>
    <w:lvl w:ilvl="8" w:tentative="0">
      <w:start w:val="1"/>
      <w:numFmt w:val="bullet"/>
      <w:lvlText w:val=""/>
      <w:lvlJc w:val="left"/>
      <w:pPr>
        <w:ind w:left="5040" w:hanging="420"/>
      </w:pPr>
      <w:rPr>
        <w:rFonts w:hint="default" w:ascii="Wingdings" w:hAnsi="Wingdings"/>
      </w:rPr>
    </w:lvl>
  </w:abstractNum>
  <w:abstractNum w:abstractNumId="4">
    <w:nsid w:val="3D650981"/>
    <w:multiLevelType w:val="multilevel"/>
    <w:tmpl w:val="3D650981"/>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pStyle w:val="43"/>
      <w:lvlText w:val="%1.%2.%3"/>
      <w:lvlJc w:val="left"/>
      <w:pPr>
        <w:ind w:left="1134" w:hanging="567"/>
      </w:pPr>
      <w:rPr>
        <w:b w:val="0"/>
        <w:bCs w:val="0"/>
        <w:i w:val="0"/>
        <w:iCs w:val="0"/>
        <w:caps w:val="0"/>
        <w:smallCaps w:val="0"/>
        <w:strike w:val="0"/>
        <w:dstrike w:val="0"/>
        <w:outline w:val="0"/>
        <w:shadow w:val="0"/>
        <w:emboss w:val="0"/>
        <w:imprint w:val="0"/>
        <w:vanish w:val="0"/>
        <w:spacing w:val="0"/>
        <w:position w:val="0"/>
        <w:u w:val="none"/>
        <w:vertAlign w:val="baseline"/>
        <w:lang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5">
    <w:nsid w:val="406A6839"/>
    <w:multiLevelType w:val="multilevel"/>
    <w:tmpl w:val="406A6839"/>
    <w:lvl w:ilvl="0" w:tentative="0">
      <w:start w:val="1"/>
      <w:numFmt w:val="bullet"/>
      <w:lvlText w:val=""/>
      <w:lvlJc w:val="left"/>
      <w:pPr>
        <w:ind w:left="1680" w:hanging="420"/>
      </w:pPr>
      <w:rPr>
        <w:rFonts w:hint="default" w:ascii="Wingdings" w:hAnsi="Wingdings"/>
      </w:rPr>
    </w:lvl>
    <w:lvl w:ilvl="1" w:tentative="0">
      <w:start w:val="1"/>
      <w:numFmt w:val="bullet"/>
      <w:lvlText w:val=""/>
      <w:lvlJc w:val="left"/>
      <w:pPr>
        <w:ind w:left="2100" w:hanging="420"/>
      </w:pPr>
      <w:rPr>
        <w:rFonts w:hint="default" w:ascii="Wingdings" w:hAnsi="Wingdings"/>
      </w:rPr>
    </w:lvl>
    <w:lvl w:ilvl="2" w:tentative="0">
      <w:start w:val="1"/>
      <w:numFmt w:val="bullet"/>
      <w:lvlText w:val=""/>
      <w:lvlJc w:val="left"/>
      <w:pPr>
        <w:ind w:left="2520" w:hanging="420"/>
      </w:pPr>
      <w:rPr>
        <w:rFonts w:hint="default" w:ascii="Wingdings" w:hAnsi="Wingdings"/>
      </w:rPr>
    </w:lvl>
    <w:lvl w:ilvl="3" w:tentative="0">
      <w:start w:val="1"/>
      <w:numFmt w:val="bullet"/>
      <w:lvlText w:val=""/>
      <w:lvlJc w:val="left"/>
      <w:pPr>
        <w:ind w:left="2940" w:hanging="420"/>
      </w:pPr>
      <w:rPr>
        <w:rFonts w:hint="default" w:ascii="Wingdings" w:hAnsi="Wingdings"/>
      </w:rPr>
    </w:lvl>
    <w:lvl w:ilvl="4" w:tentative="0">
      <w:start w:val="1"/>
      <w:numFmt w:val="bullet"/>
      <w:lvlText w:val=""/>
      <w:lvlJc w:val="left"/>
      <w:pPr>
        <w:ind w:left="3360" w:hanging="420"/>
      </w:pPr>
      <w:rPr>
        <w:rFonts w:hint="default" w:ascii="Wingdings" w:hAnsi="Wingdings"/>
      </w:rPr>
    </w:lvl>
    <w:lvl w:ilvl="5" w:tentative="0">
      <w:start w:val="1"/>
      <w:numFmt w:val="bullet"/>
      <w:lvlText w:val=""/>
      <w:lvlJc w:val="left"/>
      <w:pPr>
        <w:ind w:left="3780" w:hanging="420"/>
      </w:pPr>
      <w:rPr>
        <w:rFonts w:hint="default" w:ascii="Wingdings" w:hAnsi="Wingdings"/>
      </w:rPr>
    </w:lvl>
    <w:lvl w:ilvl="6" w:tentative="0">
      <w:start w:val="1"/>
      <w:numFmt w:val="bullet"/>
      <w:lvlText w:val=""/>
      <w:lvlJc w:val="left"/>
      <w:pPr>
        <w:ind w:left="4200" w:hanging="420"/>
      </w:pPr>
      <w:rPr>
        <w:rFonts w:hint="default" w:ascii="Wingdings" w:hAnsi="Wingdings"/>
      </w:rPr>
    </w:lvl>
    <w:lvl w:ilvl="7" w:tentative="0">
      <w:start w:val="1"/>
      <w:numFmt w:val="bullet"/>
      <w:lvlText w:val=""/>
      <w:lvlJc w:val="left"/>
      <w:pPr>
        <w:ind w:left="4620" w:hanging="420"/>
      </w:pPr>
      <w:rPr>
        <w:rFonts w:hint="default" w:ascii="Wingdings" w:hAnsi="Wingdings"/>
      </w:rPr>
    </w:lvl>
    <w:lvl w:ilvl="8" w:tentative="0">
      <w:start w:val="1"/>
      <w:numFmt w:val="bullet"/>
      <w:lvlText w:val=""/>
      <w:lvlJc w:val="left"/>
      <w:pPr>
        <w:ind w:left="5040" w:hanging="420"/>
      </w:pPr>
      <w:rPr>
        <w:rFonts w:hint="default" w:ascii="Wingdings" w:hAnsi="Wingdings"/>
      </w:rPr>
    </w:lvl>
  </w:abstractNum>
  <w:abstractNum w:abstractNumId="6">
    <w:nsid w:val="52652F88"/>
    <w:multiLevelType w:val="multilevel"/>
    <w:tmpl w:val="52652F88"/>
    <w:lvl w:ilvl="0" w:tentative="0">
      <w:start w:val="1"/>
      <w:numFmt w:val="decimalZero"/>
      <w:pStyle w:val="88"/>
      <w:lvlText w:val="T%1."/>
      <w:lvlJc w:val="left"/>
      <w:pPr>
        <w:ind w:left="1271" w:hanging="420"/>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1" w:tentative="0">
      <w:start w:val="1"/>
      <w:numFmt w:val="lowerLetter"/>
      <w:lvlText w:val="%2)"/>
      <w:lvlJc w:val="left"/>
      <w:pPr>
        <w:ind w:left="1691" w:hanging="420"/>
      </w:pPr>
    </w:lvl>
    <w:lvl w:ilvl="2" w:tentative="0">
      <w:start w:val="1"/>
      <w:numFmt w:val="lowerRoman"/>
      <w:lvlText w:val="%3."/>
      <w:lvlJc w:val="right"/>
      <w:pPr>
        <w:ind w:left="2111" w:hanging="420"/>
      </w:pPr>
    </w:lvl>
    <w:lvl w:ilvl="3" w:tentative="0">
      <w:start w:val="1"/>
      <w:numFmt w:val="decimal"/>
      <w:lvlText w:val="%4."/>
      <w:lvlJc w:val="left"/>
      <w:pPr>
        <w:ind w:left="2531" w:hanging="420"/>
      </w:pPr>
    </w:lvl>
    <w:lvl w:ilvl="4" w:tentative="0">
      <w:start w:val="1"/>
      <w:numFmt w:val="lowerLetter"/>
      <w:lvlText w:val="%5)"/>
      <w:lvlJc w:val="left"/>
      <w:pPr>
        <w:ind w:left="2951" w:hanging="420"/>
      </w:pPr>
    </w:lvl>
    <w:lvl w:ilvl="5" w:tentative="0">
      <w:start w:val="1"/>
      <w:numFmt w:val="lowerRoman"/>
      <w:lvlText w:val="%6."/>
      <w:lvlJc w:val="right"/>
      <w:pPr>
        <w:ind w:left="3371" w:hanging="420"/>
      </w:pPr>
    </w:lvl>
    <w:lvl w:ilvl="6" w:tentative="0">
      <w:start w:val="1"/>
      <w:numFmt w:val="decimal"/>
      <w:lvlText w:val="%7."/>
      <w:lvlJc w:val="left"/>
      <w:pPr>
        <w:ind w:left="3791" w:hanging="420"/>
      </w:pPr>
    </w:lvl>
    <w:lvl w:ilvl="7" w:tentative="0">
      <w:start w:val="1"/>
      <w:numFmt w:val="lowerLetter"/>
      <w:lvlText w:val="%8)"/>
      <w:lvlJc w:val="left"/>
      <w:pPr>
        <w:ind w:left="4211" w:hanging="420"/>
      </w:pPr>
    </w:lvl>
    <w:lvl w:ilvl="8" w:tentative="0">
      <w:start w:val="1"/>
      <w:numFmt w:val="lowerRoman"/>
      <w:lvlText w:val="%9."/>
      <w:lvlJc w:val="right"/>
      <w:pPr>
        <w:ind w:left="4631" w:hanging="420"/>
      </w:pPr>
    </w:lvl>
  </w:abstractNum>
  <w:abstractNum w:abstractNumId="7">
    <w:nsid w:val="5B03561F"/>
    <w:multiLevelType w:val="multilevel"/>
    <w:tmpl w:val="5B03561F"/>
    <w:lvl w:ilvl="0" w:tentative="0">
      <w:start w:val="1"/>
      <w:numFmt w:val="decimalZero"/>
      <w:pStyle w:val="54"/>
      <w:lvlText w:val="M%1. "/>
      <w:lvlJc w:val="left"/>
      <w:pPr>
        <w:ind w:left="360" w:hanging="360"/>
      </w:pPr>
      <w:rPr>
        <w:rFonts w:hint="eastAsia" w:ascii="思源黑体 CN Heavy" w:hAnsi="思源黑体 CN Heavy"/>
        <w:b/>
        <w:bCs w:val="0"/>
        <w:i w:val="0"/>
        <w:iCs w:val="0"/>
        <w:caps w:val="0"/>
        <w:smallCaps w:val="0"/>
        <w:strike w:val="0"/>
        <w:dstrike w:val="0"/>
        <w:outline w:val="0"/>
        <w:shadow w:val="0"/>
        <w:emboss w:val="0"/>
        <w:imprint w:val="0"/>
        <w:vanish w:val="0"/>
        <w:color w:val="000000"/>
        <w:spacing w:val="0"/>
        <w:position w:val="0"/>
        <w:sz w:val="24"/>
        <w:u w:val="none"/>
        <w:vertAlign w:val="baseline"/>
        <w14:ligatures w14:val="none"/>
        <w14:numForm w14:val="default"/>
        <w14:numSpacing w14:val="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8">
    <w:nsid w:val="640E3978"/>
    <w:multiLevelType w:val="multilevel"/>
    <w:tmpl w:val="640E3978"/>
    <w:lvl w:ilvl="0" w:tentative="0">
      <w:start w:val="1"/>
      <w:numFmt w:val="decimalZero"/>
      <w:pStyle w:val="90"/>
      <w:lvlText w:val="R%1. "/>
      <w:lvlJc w:val="left"/>
      <w:pPr>
        <w:ind w:left="1213" w:hanging="362"/>
      </w:pPr>
      <w:rPr>
        <w:rFonts w:hint="eastAsia"/>
        <w:b/>
        <w:bCs w:val="0"/>
        <w:i w:val="0"/>
        <w:iCs w:val="0"/>
        <w:caps w:val="0"/>
        <w:smallCaps w:val="0"/>
        <w:strike w:val="0"/>
        <w:dstrike w:val="0"/>
        <w:outline w:val="0"/>
        <w:shadow w:val="0"/>
        <w:emboss w:val="0"/>
        <w:imprint w:val="0"/>
        <w:vanish w:val="0"/>
        <w:spacing w:val="0"/>
        <w:position w:val="0"/>
        <w:u w:val="none"/>
        <w:vertAlign w:val="baseline"/>
        <w:lang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1" w:tentative="0">
      <w:start w:val="1"/>
      <w:numFmt w:val="lowerLetter"/>
      <w:lvlText w:val="%2)"/>
      <w:lvlJc w:val="left"/>
      <w:pPr>
        <w:ind w:left="1691" w:hanging="420"/>
      </w:pPr>
      <w:rPr>
        <w:rFonts w:hint="eastAsia"/>
      </w:rPr>
    </w:lvl>
    <w:lvl w:ilvl="2" w:tentative="0">
      <w:start w:val="1"/>
      <w:numFmt w:val="lowerRoman"/>
      <w:lvlText w:val="%3."/>
      <w:lvlJc w:val="right"/>
      <w:pPr>
        <w:ind w:left="2111" w:hanging="420"/>
      </w:pPr>
      <w:rPr>
        <w:rFonts w:hint="eastAsia"/>
      </w:rPr>
    </w:lvl>
    <w:lvl w:ilvl="3" w:tentative="0">
      <w:start w:val="1"/>
      <w:numFmt w:val="decimal"/>
      <w:lvlText w:val="%4."/>
      <w:lvlJc w:val="left"/>
      <w:pPr>
        <w:ind w:left="2531" w:hanging="420"/>
      </w:pPr>
      <w:rPr>
        <w:rFonts w:hint="eastAsia"/>
      </w:rPr>
    </w:lvl>
    <w:lvl w:ilvl="4" w:tentative="0">
      <w:start w:val="1"/>
      <w:numFmt w:val="lowerLetter"/>
      <w:lvlText w:val="%5)"/>
      <w:lvlJc w:val="left"/>
      <w:pPr>
        <w:ind w:left="2951" w:hanging="420"/>
      </w:pPr>
      <w:rPr>
        <w:rFonts w:hint="eastAsia"/>
      </w:rPr>
    </w:lvl>
    <w:lvl w:ilvl="5" w:tentative="0">
      <w:start w:val="1"/>
      <w:numFmt w:val="lowerRoman"/>
      <w:lvlText w:val="%6."/>
      <w:lvlJc w:val="right"/>
      <w:pPr>
        <w:ind w:left="3371" w:hanging="420"/>
      </w:pPr>
      <w:rPr>
        <w:rFonts w:hint="eastAsia"/>
      </w:rPr>
    </w:lvl>
    <w:lvl w:ilvl="6" w:tentative="0">
      <w:start w:val="1"/>
      <w:numFmt w:val="decimal"/>
      <w:lvlText w:val="%7."/>
      <w:lvlJc w:val="left"/>
      <w:pPr>
        <w:ind w:left="3791" w:hanging="420"/>
      </w:pPr>
      <w:rPr>
        <w:rFonts w:hint="eastAsia"/>
      </w:rPr>
    </w:lvl>
    <w:lvl w:ilvl="7" w:tentative="0">
      <w:start w:val="1"/>
      <w:numFmt w:val="lowerLetter"/>
      <w:lvlText w:val="%8)"/>
      <w:lvlJc w:val="left"/>
      <w:pPr>
        <w:ind w:left="4211" w:hanging="420"/>
      </w:pPr>
      <w:rPr>
        <w:rFonts w:hint="eastAsia"/>
      </w:rPr>
    </w:lvl>
    <w:lvl w:ilvl="8" w:tentative="0">
      <w:start w:val="1"/>
      <w:numFmt w:val="lowerRoman"/>
      <w:lvlText w:val="%9."/>
      <w:lvlJc w:val="right"/>
      <w:pPr>
        <w:ind w:left="4631" w:hanging="420"/>
      </w:pPr>
      <w:rPr>
        <w:rFonts w:hint="eastAsia"/>
      </w:rPr>
    </w:lvl>
  </w:abstractNum>
  <w:abstractNum w:abstractNumId="9">
    <w:nsid w:val="68C94424"/>
    <w:multiLevelType w:val="multilevel"/>
    <w:tmpl w:val="68C94424"/>
    <w:lvl w:ilvl="0" w:tentative="0">
      <w:start w:val="1"/>
      <w:numFmt w:val="bullet"/>
      <w:lvlText w:val=""/>
      <w:lvlJc w:val="left"/>
      <w:pPr>
        <w:ind w:left="1680" w:hanging="420"/>
      </w:pPr>
      <w:rPr>
        <w:rFonts w:hint="default" w:ascii="Wingdings" w:hAnsi="Wingdings"/>
      </w:rPr>
    </w:lvl>
    <w:lvl w:ilvl="1" w:tentative="0">
      <w:start w:val="1"/>
      <w:numFmt w:val="bullet"/>
      <w:lvlText w:val=""/>
      <w:lvlJc w:val="left"/>
      <w:pPr>
        <w:ind w:left="2100" w:hanging="420"/>
      </w:pPr>
      <w:rPr>
        <w:rFonts w:hint="default" w:ascii="Wingdings" w:hAnsi="Wingdings"/>
      </w:rPr>
    </w:lvl>
    <w:lvl w:ilvl="2" w:tentative="0">
      <w:start w:val="1"/>
      <w:numFmt w:val="bullet"/>
      <w:lvlText w:val=""/>
      <w:lvlJc w:val="left"/>
      <w:pPr>
        <w:ind w:left="2520" w:hanging="420"/>
      </w:pPr>
      <w:rPr>
        <w:rFonts w:hint="default" w:ascii="Wingdings" w:hAnsi="Wingdings"/>
      </w:rPr>
    </w:lvl>
    <w:lvl w:ilvl="3" w:tentative="0">
      <w:start w:val="1"/>
      <w:numFmt w:val="bullet"/>
      <w:lvlText w:val=""/>
      <w:lvlJc w:val="left"/>
      <w:pPr>
        <w:ind w:left="2940" w:hanging="420"/>
      </w:pPr>
      <w:rPr>
        <w:rFonts w:hint="default" w:ascii="Wingdings" w:hAnsi="Wingdings"/>
      </w:rPr>
    </w:lvl>
    <w:lvl w:ilvl="4" w:tentative="0">
      <w:start w:val="1"/>
      <w:numFmt w:val="bullet"/>
      <w:lvlText w:val=""/>
      <w:lvlJc w:val="left"/>
      <w:pPr>
        <w:ind w:left="3360" w:hanging="420"/>
      </w:pPr>
      <w:rPr>
        <w:rFonts w:hint="default" w:ascii="Wingdings" w:hAnsi="Wingdings"/>
      </w:rPr>
    </w:lvl>
    <w:lvl w:ilvl="5" w:tentative="0">
      <w:start w:val="1"/>
      <w:numFmt w:val="bullet"/>
      <w:lvlText w:val=""/>
      <w:lvlJc w:val="left"/>
      <w:pPr>
        <w:ind w:left="3780" w:hanging="420"/>
      </w:pPr>
      <w:rPr>
        <w:rFonts w:hint="default" w:ascii="Wingdings" w:hAnsi="Wingdings"/>
      </w:rPr>
    </w:lvl>
    <w:lvl w:ilvl="6" w:tentative="0">
      <w:start w:val="1"/>
      <w:numFmt w:val="bullet"/>
      <w:lvlText w:val=""/>
      <w:lvlJc w:val="left"/>
      <w:pPr>
        <w:ind w:left="4200" w:hanging="420"/>
      </w:pPr>
      <w:rPr>
        <w:rFonts w:hint="default" w:ascii="Wingdings" w:hAnsi="Wingdings"/>
      </w:rPr>
    </w:lvl>
    <w:lvl w:ilvl="7" w:tentative="0">
      <w:start w:val="1"/>
      <w:numFmt w:val="bullet"/>
      <w:lvlText w:val=""/>
      <w:lvlJc w:val="left"/>
      <w:pPr>
        <w:ind w:left="4620" w:hanging="420"/>
      </w:pPr>
      <w:rPr>
        <w:rFonts w:hint="default" w:ascii="Wingdings" w:hAnsi="Wingdings"/>
      </w:rPr>
    </w:lvl>
    <w:lvl w:ilvl="8" w:tentative="0">
      <w:start w:val="1"/>
      <w:numFmt w:val="bullet"/>
      <w:lvlText w:val=""/>
      <w:lvlJc w:val="left"/>
      <w:pPr>
        <w:ind w:left="5040" w:hanging="420"/>
      </w:pPr>
      <w:rPr>
        <w:rFonts w:hint="default" w:ascii="Wingdings" w:hAnsi="Wingdings"/>
      </w:rPr>
    </w:lvl>
  </w:abstractNum>
  <w:abstractNum w:abstractNumId="10">
    <w:nsid w:val="6F990B5E"/>
    <w:multiLevelType w:val="multilevel"/>
    <w:tmpl w:val="6F990B5E"/>
    <w:lvl w:ilvl="0" w:tentative="0">
      <w:start w:val="1"/>
      <w:numFmt w:val="bullet"/>
      <w:pStyle w:val="31"/>
      <w:lvlText w:val=""/>
      <w:lvlJc w:val="left"/>
      <w:pPr>
        <w:ind w:left="1128"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1">
    <w:nsid w:val="70CA3A0B"/>
    <w:multiLevelType w:val="multilevel"/>
    <w:tmpl w:val="70CA3A0B"/>
    <w:lvl w:ilvl="0" w:tentative="0">
      <w:start w:val="1"/>
      <w:numFmt w:val="decimalZero"/>
      <w:pStyle w:val="93"/>
      <w:lvlText w:val="E%1. "/>
      <w:lvlJc w:val="left"/>
      <w:pPr>
        <w:ind w:left="1213" w:hanging="362"/>
      </w:pPr>
      <w:rPr>
        <w:rFonts w:hint="eastAsia"/>
        <w:b/>
        <w:bCs w:val="0"/>
        <w:i w:val="0"/>
        <w:iCs w:val="0"/>
        <w:caps w:val="0"/>
        <w:smallCaps w:val="0"/>
        <w:strike w:val="0"/>
        <w:dstrike w:val="0"/>
        <w:outline w:val="0"/>
        <w:shadow w:val="0"/>
        <w:emboss w:val="0"/>
        <w:imprint w:val="0"/>
        <w:vanish w:val="0"/>
        <w:spacing w:val="0"/>
        <w:position w:val="0"/>
        <w:u w:val="none"/>
        <w:vertAlign w:val="baseline"/>
        <w14:ligatures w14:val="none"/>
        <w14:numForm w14:val="default"/>
        <w14:numSpacing w14:val="default"/>
        <w14:cntxtalts w14:val="0"/>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2">
    <w:nsid w:val="7B164970"/>
    <w:multiLevelType w:val="multilevel"/>
    <w:tmpl w:val="7B164970"/>
    <w:lvl w:ilvl="0" w:tentative="0">
      <w:start w:val="1"/>
      <w:numFmt w:val="decimalZero"/>
      <w:pStyle w:val="48"/>
      <w:lvlText w:val="T%1. "/>
      <w:lvlJc w:val="left"/>
      <w:pPr>
        <w:ind w:left="1211" w:hanging="360"/>
      </w:pPr>
      <w:rPr>
        <w:rFonts w:hint="eastAsia" w:ascii="思源黑体 CN Regular" w:hAnsi="思源黑体 CN Regular"/>
        <w:b/>
        <w:bCs w:val="0"/>
        <w:i w:val="0"/>
        <w:iCs w:val="0"/>
        <w:caps w:val="0"/>
        <w:smallCaps w:val="0"/>
        <w:strike w:val="0"/>
        <w:dstrike w:val="0"/>
        <w:outline w:val="0"/>
        <w:shadow w:val="0"/>
        <w:emboss w:val="0"/>
        <w:imprint w:val="0"/>
        <w:vanish w:val="0"/>
        <w:color w:val="auto"/>
        <w:spacing w:val="0"/>
        <w:position w:val="0"/>
        <w:sz w:val="24"/>
        <w:u w:val="none"/>
        <w:vertAlign w:val="baseline"/>
        <w:lang w:val="en-US"/>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lowerLetter"/>
      <w:lvlText w:val="%2."/>
      <w:lvlJc w:val="left"/>
      <w:pPr>
        <w:ind w:left="2280" w:hanging="360"/>
      </w:pPr>
    </w:lvl>
    <w:lvl w:ilvl="2" w:tentative="0">
      <w:start w:val="1"/>
      <w:numFmt w:val="lowerRoman"/>
      <w:lvlText w:val="%3."/>
      <w:lvlJc w:val="right"/>
      <w:pPr>
        <w:ind w:left="3000" w:hanging="180"/>
      </w:pPr>
    </w:lvl>
    <w:lvl w:ilvl="3" w:tentative="0">
      <w:start w:val="1"/>
      <w:numFmt w:val="decimal"/>
      <w:lvlText w:val="%4."/>
      <w:lvlJc w:val="left"/>
      <w:pPr>
        <w:ind w:left="3720" w:hanging="360"/>
      </w:pPr>
    </w:lvl>
    <w:lvl w:ilvl="4" w:tentative="0">
      <w:start w:val="1"/>
      <w:numFmt w:val="lowerLetter"/>
      <w:lvlText w:val="%5."/>
      <w:lvlJc w:val="left"/>
      <w:pPr>
        <w:ind w:left="4440" w:hanging="360"/>
      </w:pPr>
    </w:lvl>
    <w:lvl w:ilvl="5" w:tentative="0">
      <w:start w:val="1"/>
      <w:numFmt w:val="lowerRoman"/>
      <w:lvlText w:val="%6."/>
      <w:lvlJc w:val="right"/>
      <w:pPr>
        <w:ind w:left="5160" w:hanging="180"/>
      </w:pPr>
    </w:lvl>
    <w:lvl w:ilvl="6" w:tentative="0">
      <w:start w:val="1"/>
      <w:numFmt w:val="decimal"/>
      <w:lvlText w:val="%7."/>
      <w:lvlJc w:val="left"/>
      <w:pPr>
        <w:ind w:left="5880" w:hanging="360"/>
      </w:pPr>
    </w:lvl>
    <w:lvl w:ilvl="7" w:tentative="0">
      <w:start w:val="1"/>
      <w:numFmt w:val="lowerLetter"/>
      <w:lvlText w:val="%8."/>
      <w:lvlJc w:val="left"/>
      <w:pPr>
        <w:ind w:left="6600" w:hanging="360"/>
      </w:pPr>
    </w:lvl>
    <w:lvl w:ilvl="8" w:tentative="0">
      <w:start w:val="1"/>
      <w:numFmt w:val="lowerRoman"/>
      <w:lvlText w:val="%9."/>
      <w:lvlJc w:val="right"/>
      <w:pPr>
        <w:ind w:left="7320" w:hanging="180"/>
      </w:pPr>
    </w:lvl>
  </w:abstractNum>
  <w:abstractNum w:abstractNumId="13">
    <w:nsid w:val="7DA2056E"/>
    <w:multiLevelType w:val="multilevel"/>
    <w:tmpl w:val="7DA2056E"/>
    <w:lvl w:ilvl="0" w:tentative="0">
      <w:start w:val="1"/>
      <w:numFmt w:val="decimal"/>
      <w:lvlText w:val="%1"/>
      <w:lvlJc w:val="left"/>
      <w:pPr>
        <w:ind w:left="425" w:hanging="425"/>
      </w:pPr>
      <w:rPr>
        <w:rFonts w:hint="eastAsia"/>
      </w:rPr>
    </w:lvl>
    <w:lvl w:ilvl="1" w:tentative="0">
      <w:start w:val="1"/>
      <w:numFmt w:val="decimal"/>
      <w:pStyle w:val="3"/>
      <w:lvlText w:val="%1.%2"/>
      <w:lvlJc w:val="left"/>
      <w:pPr>
        <w:ind w:left="992" w:hanging="567"/>
      </w:p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num w:numId="1">
    <w:abstractNumId w:val="13"/>
  </w:num>
  <w:num w:numId="2">
    <w:abstractNumId w:val="10"/>
  </w:num>
  <w:num w:numId="3">
    <w:abstractNumId w:val="0"/>
  </w:num>
  <w:num w:numId="4">
    <w:abstractNumId w:val="4"/>
  </w:num>
  <w:num w:numId="5">
    <w:abstractNumId w:val="2"/>
  </w:num>
  <w:num w:numId="6">
    <w:abstractNumId w:val="12"/>
  </w:num>
  <w:num w:numId="7">
    <w:abstractNumId w:val="7"/>
  </w:num>
  <w:num w:numId="8">
    <w:abstractNumId w:val="6"/>
  </w:num>
  <w:num w:numId="9">
    <w:abstractNumId w:val="8"/>
  </w:num>
  <w:num w:numId="10">
    <w:abstractNumId w:val="11"/>
  </w:num>
  <w:num w:numId="11">
    <w:abstractNumId w:val="1"/>
  </w:num>
  <w:num w:numId="12">
    <w:abstractNumId w:val="5"/>
  </w:num>
  <w:num w:numId="13">
    <w:abstractNumId w:val="3"/>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4"/>
  <w:displayBackgroundShape w:val="1"/>
  <w:bordersDoNotSurroundHeader w:val="1"/>
  <w:bordersDoNotSurroundFooter w:val="1"/>
  <w:documentProtection w:enforcement="0"/>
  <w:defaultTabStop w:val="420"/>
  <w:drawingGridHorizontalSpacing w:val="100"/>
  <w:drawingGridVerticalSpacing w:val="156"/>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Y5YzIwZTgzNTdkMTQxZTQ5ZTU0ZThiM2EzYTQ5OTYifQ=="/>
  </w:docVars>
  <w:rsids>
    <w:rsidRoot w:val="009D0568"/>
    <w:rsid w:val="00001B4C"/>
    <w:rsid w:val="00001E5C"/>
    <w:rsid w:val="00003018"/>
    <w:rsid w:val="0000309A"/>
    <w:rsid w:val="0000333C"/>
    <w:rsid w:val="000033BF"/>
    <w:rsid w:val="0000358F"/>
    <w:rsid w:val="00003799"/>
    <w:rsid w:val="00003A65"/>
    <w:rsid w:val="00004081"/>
    <w:rsid w:val="0000498B"/>
    <w:rsid w:val="00004D65"/>
    <w:rsid w:val="00005405"/>
    <w:rsid w:val="0000585D"/>
    <w:rsid w:val="00005A3B"/>
    <w:rsid w:val="000060FD"/>
    <w:rsid w:val="00006186"/>
    <w:rsid w:val="000066DC"/>
    <w:rsid w:val="0000715F"/>
    <w:rsid w:val="00007168"/>
    <w:rsid w:val="00007174"/>
    <w:rsid w:val="000076F5"/>
    <w:rsid w:val="00007749"/>
    <w:rsid w:val="00007D66"/>
    <w:rsid w:val="00010ACF"/>
    <w:rsid w:val="00011BED"/>
    <w:rsid w:val="00012536"/>
    <w:rsid w:val="000128F5"/>
    <w:rsid w:val="000128FC"/>
    <w:rsid w:val="00012B2E"/>
    <w:rsid w:val="00013090"/>
    <w:rsid w:val="00013BBD"/>
    <w:rsid w:val="00014218"/>
    <w:rsid w:val="0001423A"/>
    <w:rsid w:val="00014884"/>
    <w:rsid w:val="00014C92"/>
    <w:rsid w:val="00014D31"/>
    <w:rsid w:val="00015660"/>
    <w:rsid w:val="00017E95"/>
    <w:rsid w:val="00020146"/>
    <w:rsid w:val="00021332"/>
    <w:rsid w:val="000216BA"/>
    <w:rsid w:val="00021A12"/>
    <w:rsid w:val="00021B7F"/>
    <w:rsid w:val="00021C77"/>
    <w:rsid w:val="00021EB2"/>
    <w:rsid w:val="000220AC"/>
    <w:rsid w:val="000228A0"/>
    <w:rsid w:val="00022B96"/>
    <w:rsid w:val="00023D36"/>
    <w:rsid w:val="000248A9"/>
    <w:rsid w:val="00024C68"/>
    <w:rsid w:val="00025190"/>
    <w:rsid w:val="00026288"/>
    <w:rsid w:val="00026D3C"/>
    <w:rsid w:val="00026D82"/>
    <w:rsid w:val="00030DD2"/>
    <w:rsid w:val="00031366"/>
    <w:rsid w:val="00031D92"/>
    <w:rsid w:val="00032BEA"/>
    <w:rsid w:val="00032F22"/>
    <w:rsid w:val="00033085"/>
    <w:rsid w:val="00033878"/>
    <w:rsid w:val="00035E5E"/>
    <w:rsid w:val="00040D00"/>
    <w:rsid w:val="00041AEE"/>
    <w:rsid w:val="00041B98"/>
    <w:rsid w:val="00041E59"/>
    <w:rsid w:val="00042F8E"/>
    <w:rsid w:val="0004309F"/>
    <w:rsid w:val="00043C1B"/>
    <w:rsid w:val="00044221"/>
    <w:rsid w:val="000449C7"/>
    <w:rsid w:val="000456A3"/>
    <w:rsid w:val="00046DFE"/>
    <w:rsid w:val="00047058"/>
    <w:rsid w:val="000476C3"/>
    <w:rsid w:val="00047A46"/>
    <w:rsid w:val="00047BC3"/>
    <w:rsid w:val="00050CEA"/>
    <w:rsid w:val="00050E4E"/>
    <w:rsid w:val="0005110D"/>
    <w:rsid w:val="00052259"/>
    <w:rsid w:val="000522BE"/>
    <w:rsid w:val="00052E99"/>
    <w:rsid w:val="00053198"/>
    <w:rsid w:val="000535AC"/>
    <w:rsid w:val="0005409D"/>
    <w:rsid w:val="00054F66"/>
    <w:rsid w:val="00055048"/>
    <w:rsid w:val="000552B0"/>
    <w:rsid w:val="000562BA"/>
    <w:rsid w:val="00056339"/>
    <w:rsid w:val="0005672A"/>
    <w:rsid w:val="00056BE6"/>
    <w:rsid w:val="0005773E"/>
    <w:rsid w:val="00057FB5"/>
    <w:rsid w:val="00060994"/>
    <w:rsid w:val="00060D0A"/>
    <w:rsid w:val="00061869"/>
    <w:rsid w:val="00061B56"/>
    <w:rsid w:val="000621DD"/>
    <w:rsid w:val="00062247"/>
    <w:rsid w:val="000622FA"/>
    <w:rsid w:val="000625BF"/>
    <w:rsid w:val="00064430"/>
    <w:rsid w:val="000649B3"/>
    <w:rsid w:val="00064E2B"/>
    <w:rsid w:val="000656D4"/>
    <w:rsid w:val="00066BCE"/>
    <w:rsid w:val="00066C8F"/>
    <w:rsid w:val="00070991"/>
    <w:rsid w:val="000718C2"/>
    <w:rsid w:val="00071E58"/>
    <w:rsid w:val="000720C2"/>
    <w:rsid w:val="00073C22"/>
    <w:rsid w:val="00074803"/>
    <w:rsid w:val="00074812"/>
    <w:rsid w:val="00074BCB"/>
    <w:rsid w:val="000750C3"/>
    <w:rsid w:val="00076640"/>
    <w:rsid w:val="00076828"/>
    <w:rsid w:val="00076C76"/>
    <w:rsid w:val="0007755A"/>
    <w:rsid w:val="000775E4"/>
    <w:rsid w:val="00077EC9"/>
    <w:rsid w:val="00080A8B"/>
    <w:rsid w:val="000811F0"/>
    <w:rsid w:val="000818C4"/>
    <w:rsid w:val="00082861"/>
    <w:rsid w:val="00082C5F"/>
    <w:rsid w:val="00083A07"/>
    <w:rsid w:val="00083D44"/>
    <w:rsid w:val="00084A9D"/>
    <w:rsid w:val="00084F4B"/>
    <w:rsid w:val="00085264"/>
    <w:rsid w:val="00086951"/>
    <w:rsid w:val="00087160"/>
    <w:rsid w:val="00090EFB"/>
    <w:rsid w:val="00092725"/>
    <w:rsid w:val="000928FC"/>
    <w:rsid w:val="00092B1D"/>
    <w:rsid w:val="00093B68"/>
    <w:rsid w:val="000951C2"/>
    <w:rsid w:val="0009528B"/>
    <w:rsid w:val="000952C9"/>
    <w:rsid w:val="0009629F"/>
    <w:rsid w:val="00096684"/>
    <w:rsid w:val="000968C2"/>
    <w:rsid w:val="00096DD2"/>
    <w:rsid w:val="00096EB1"/>
    <w:rsid w:val="0009747E"/>
    <w:rsid w:val="0009771D"/>
    <w:rsid w:val="00097ED8"/>
    <w:rsid w:val="000A05A8"/>
    <w:rsid w:val="000A0B45"/>
    <w:rsid w:val="000A1654"/>
    <w:rsid w:val="000A18CE"/>
    <w:rsid w:val="000A1FD3"/>
    <w:rsid w:val="000A20A9"/>
    <w:rsid w:val="000A268C"/>
    <w:rsid w:val="000A3B00"/>
    <w:rsid w:val="000A3C83"/>
    <w:rsid w:val="000A3DEC"/>
    <w:rsid w:val="000A5114"/>
    <w:rsid w:val="000A5801"/>
    <w:rsid w:val="000A58B0"/>
    <w:rsid w:val="000A6B83"/>
    <w:rsid w:val="000B0331"/>
    <w:rsid w:val="000B036F"/>
    <w:rsid w:val="000B07BE"/>
    <w:rsid w:val="000B1136"/>
    <w:rsid w:val="000B1539"/>
    <w:rsid w:val="000B1C2A"/>
    <w:rsid w:val="000B285C"/>
    <w:rsid w:val="000B2CA3"/>
    <w:rsid w:val="000B4AA6"/>
    <w:rsid w:val="000B54EE"/>
    <w:rsid w:val="000B6D02"/>
    <w:rsid w:val="000B7616"/>
    <w:rsid w:val="000C0594"/>
    <w:rsid w:val="000C06AA"/>
    <w:rsid w:val="000C099B"/>
    <w:rsid w:val="000C0BF1"/>
    <w:rsid w:val="000C134F"/>
    <w:rsid w:val="000C1637"/>
    <w:rsid w:val="000C2472"/>
    <w:rsid w:val="000C3081"/>
    <w:rsid w:val="000C3B78"/>
    <w:rsid w:val="000C3FB6"/>
    <w:rsid w:val="000C44A1"/>
    <w:rsid w:val="000C4B1E"/>
    <w:rsid w:val="000C4D36"/>
    <w:rsid w:val="000C5086"/>
    <w:rsid w:val="000C5F2A"/>
    <w:rsid w:val="000C5FBB"/>
    <w:rsid w:val="000C6B91"/>
    <w:rsid w:val="000C7036"/>
    <w:rsid w:val="000C7591"/>
    <w:rsid w:val="000D06AF"/>
    <w:rsid w:val="000D08E7"/>
    <w:rsid w:val="000D0CD0"/>
    <w:rsid w:val="000D10FC"/>
    <w:rsid w:val="000D2161"/>
    <w:rsid w:val="000D30A7"/>
    <w:rsid w:val="000D31D0"/>
    <w:rsid w:val="000D3351"/>
    <w:rsid w:val="000D36FE"/>
    <w:rsid w:val="000D44C6"/>
    <w:rsid w:val="000D46D4"/>
    <w:rsid w:val="000D4A3A"/>
    <w:rsid w:val="000D512A"/>
    <w:rsid w:val="000D54CB"/>
    <w:rsid w:val="000D6AD1"/>
    <w:rsid w:val="000D6AE0"/>
    <w:rsid w:val="000D72C0"/>
    <w:rsid w:val="000D7350"/>
    <w:rsid w:val="000D7E78"/>
    <w:rsid w:val="000E0F70"/>
    <w:rsid w:val="000E1B3C"/>
    <w:rsid w:val="000E1C54"/>
    <w:rsid w:val="000E2275"/>
    <w:rsid w:val="000E2D9A"/>
    <w:rsid w:val="000E3B30"/>
    <w:rsid w:val="000E4038"/>
    <w:rsid w:val="000E564A"/>
    <w:rsid w:val="000E5A08"/>
    <w:rsid w:val="000E6982"/>
    <w:rsid w:val="000E6B96"/>
    <w:rsid w:val="000E6D73"/>
    <w:rsid w:val="000E6E40"/>
    <w:rsid w:val="000E703B"/>
    <w:rsid w:val="000E7D43"/>
    <w:rsid w:val="000F2584"/>
    <w:rsid w:val="000F2987"/>
    <w:rsid w:val="000F2EDB"/>
    <w:rsid w:val="000F2FFD"/>
    <w:rsid w:val="000F3767"/>
    <w:rsid w:val="000F4520"/>
    <w:rsid w:val="000F46D9"/>
    <w:rsid w:val="000F4A3B"/>
    <w:rsid w:val="000F4F12"/>
    <w:rsid w:val="000F5A6E"/>
    <w:rsid w:val="000F6478"/>
    <w:rsid w:val="000F6614"/>
    <w:rsid w:val="000F6B5C"/>
    <w:rsid w:val="00100699"/>
    <w:rsid w:val="001007D0"/>
    <w:rsid w:val="00102A42"/>
    <w:rsid w:val="00103874"/>
    <w:rsid w:val="001047A1"/>
    <w:rsid w:val="001050CA"/>
    <w:rsid w:val="00105A7E"/>
    <w:rsid w:val="0010617A"/>
    <w:rsid w:val="00106496"/>
    <w:rsid w:val="001064FA"/>
    <w:rsid w:val="00106899"/>
    <w:rsid w:val="00107968"/>
    <w:rsid w:val="00107A7D"/>
    <w:rsid w:val="00110CAF"/>
    <w:rsid w:val="001115B2"/>
    <w:rsid w:val="0011169C"/>
    <w:rsid w:val="00111B5D"/>
    <w:rsid w:val="00112323"/>
    <w:rsid w:val="00112740"/>
    <w:rsid w:val="00112872"/>
    <w:rsid w:val="00112A2C"/>
    <w:rsid w:val="00112F82"/>
    <w:rsid w:val="0011397C"/>
    <w:rsid w:val="00113B68"/>
    <w:rsid w:val="001143AF"/>
    <w:rsid w:val="0011458C"/>
    <w:rsid w:val="00114590"/>
    <w:rsid w:val="0011522C"/>
    <w:rsid w:val="0011522D"/>
    <w:rsid w:val="001156B5"/>
    <w:rsid w:val="00115807"/>
    <w:rsid w:val="00115D33"/>
    <w:rsid w:val="001167A3"/>
    <w:rsid w:val="00117374"/>
    <w:rsid w:val="001218A5"/>
    <w:rsid w:val="00121D48"/>
    <w:rsid w:val="00122076"/>
    <w:rsid w:val="00123733"/>
    <w:rsid w:val="00124D45"/>
    <w:rsid w:val="001250F6"/>
    <w:rsid w:val="00125792"/>
    <w:rsid w:val="00126293"/>
    <w:rsid w:val="001265C3"/>
    <w:rsid w:val="00126B9B"/>
    <w:rsid w:val="00127145"/>
    <w:rsid w:val="00127A74"/>
    <w:rsid w:val="00127C46"/>
    <w:rsid w:val="0013051B"/>
    <w:rsid w:val="001317B4"/>
    <w:rsid w:val="00131AA9"/>
    <w:rsid w:val="00131F6D"/>
    <w:rsid w:val="00132CD1"/>
    <w:rsid w:val="00133127"/>
    <w:rsid w:val="00134912"/>
    <w:rsid w:val="0013545F"/>
    <w:rsid w:val="001363F6"/>
    <w:rsid w:val="00136868"/>
    <w:rsid w:val="00136E62"/>
    <w:rsid w:val="0013734B"/>
    <w:rsid w:val="0014008D"/>
    <w:rsid w:val="001404B9"/>
    <w:rsid w:val="001409FD"/>
    <w:rsid w:val="00141153"/>
    <w:rsid w:val="00141468"/>
    <w:rsid w:val="00141F95"/>
    <w:rsid w:val="00143A35"/>
    <w:rsid w:val="00144702"/>
    <w:rsid w:val="00144887"/>
    <w:rsid w:val="0014496A"/>
    <w:rsid w:val="00144C80"/>
    <w:rsid w:val="001451F2"/>
    <w:rsid w:val="00146004"/>
    <w:rsid w:val="001460E2"/>
    <w:rsid w:val="00146310"/>
    <w:rsid w:val="0014632A"/>
    <w:rsid w:val="00146385"/>
    <w:rsid w:val="001464DE"/>
    <w:rsid w:val="0014670C"/>
    <w:rsid w:val="00146A76"/>
    <w:rsid w:val="00146D44"/>
    <w:rsid w:val="00146DA7"/>
    <w:rsid w:val="001473EC"/>
    <w:rsid w:val="001477AD"/>
    <w:rsid w:val="00147B0C"/>
    <w:rsid w:val="00147C05"/>
    <w:rsid w:val="00147F24"/>
    <w:rsid w:val="001507B5"/>
    <w:rsid w:val="00150E46"/>
    <w:rsid w:val="00151144"/>
    <w:rsid w:val="001514EE"/>
    <w:rsid w:val="00151CDB"/>
    <w:rsid w:val="00151D32"/>
    <w:rsid w:val="001520F8"/>
    <w:rsid w:val="001528C4"/>
    <w:rsid w:val="001537F3"/>
    <w:rsid w:val="0015388B"/>
    <w:rsid w:val="00154393"/>
    <w:rsid w:val="00154F38"/>
    <w:rsid w:val="00155A3B"/>
    <w:rsid w:val="00155BFE"/>
    <w:rsid w:val="00156A09"/>
    <w:rsid w:val="00157677"/>
    <w:rsid w:val="0016172C"/>
    <w:rsid w:val="00161D3E"/>
    <w:rsid w:val="00161ED9"/>
    <w:rsid w:val="00162566"/>
    <w:rsid w:val="001634B9"/>
    <w:rsid w:val="0016353B"/>
    <w:rsid w:val="00164004"/>
    <w:rsid w:val="0016568A"/>
    <w:rsid w:val="00165A5E"/>
    <w:rsid w:val="0016646E"/>
    <w:rsid w:val="001672A4"/>
    <w:rsid w:val="00171049"/>
    <w:rsid w:val="00171CFF"/>
    <w:rsid w:val="0017292B"/>
    <w:rsid w:val="00172F9D"/>
    <w:rsid w:val="00173BA5"/>
    <w:rsid w:val="00174708"/>
    <w:rsid w:val="00174E7C"/>
    <w:rsid w:val="00175056"/>
    <w:rsid w:val="00175777"/>
    <w:rsid w:val="00175989"/>
    <w:rsid w:val="00175B0C"/>
    <w:rsid w:val="001765E4"/>
    <w:rsid w:val="00177BB7"/>
    <w:rsid w:val="00177D59"/>
    <w:rsid w:val="00180030"/>
    <w:rsid w:val="0018109D"/>
    <w:rsid w:val="00181527"/>
    <w:rsid w:val="00182474"/>
    <w:rsid w:val="00182954"/>
    <w:rsid w:val="00182DEB"/>
    <w:rsid w:val="00184391"/>
    <w:rsid w:val="00185185"/>
    <w:rsid w:val="001851CC"/>
    <w:rsid w:val="001859AB"/>
    <w:rsid w:val="00186B36"/>
    <w:rsid w:val="0018740C"/>
    <w:rsid w:val="00187D99"/>
    <w:rsid w:val="00190674"/>
    <w:rsid w:val="00190C1B"/>
    <w:rsid w:val="0019194A"/>
    <w:rsid w:val="00192A3C"/>
    <w:rsid w:val="00192BB5"/>
    <w:rsid w:val="00193658"/>
    <w:rsid w:val="001945F0"/>
    <w:rsid w:val="0019511A"/>
    <w:rsid w:val="001962A6"/>
    <w:rsid w:val="0019713B"/>
    <w:rsid w:val="00197CD7"/>
    <w:rsid w:val="001A0CBB"/>
    <w:rsid w:val="001A1097"/>
    <w:rsid w:val="001A115A"/>
    <w:rsid w:val="001A22FC"/>
    <w:rsid w:val="001A4EC0"/>
    <w:rsid w:val="001A5430"/>
    <w:rsid w:val="001A6188"/>
    <w:rsid w:val="001A7E79"/>
    <w:rsid w:val="001B0AC7"/>
    <w:rsid w:val="001B0E1C"/>
    <w:rsid w:val="001B0FF5"/>
    <w:rsid w:val="001B13EA"/>
    <w:rsid w:val="001B1AA7"/>
    <w:rsid w:val="001B1E98"/>
    <w:rsid w:val="001B2D5A"/>
    <w:rsid w:val="001B2DA8"/>
    <w:rsid w:val="001B2F0E"/>
    <w:rsid w:val="001B32B1"/>
    <w:rsid w:val="001B40B4"/>
    <w:rsid w:val="001B44C7"/>
    <w:rsid w:val="001B454D"/>
    <w:rsid w:val="001B4733"/>
    <w:rsid w:val="001B4B07"/>
    <w:rsid w:val="001B691D"/>
    <w:rsid w:val="001B6C04"/>
    <w:rsid w:val="001B6DAE"/>
    <w:rsid w:val="001B6E5A"/>
    <w:rsid w:val="001B7D72"/>
    <w:rsid w:val="001C1F26"/>
    <w:rsid w:val="001C2022"/>
    <w:rsid w:val="001C206A"/>
    <w:rsid w:val="001C2D8A"/>
    <w:rsid w:val="001C2E96"/>
    <w:rsid w:val="001C426B"/>
    <w:rsid w:val="001C4297"/>
    <w:rsid w:val="001C5238"/>
    <w:rsid w:val="001C537D"/>
    <w:rsid w:val="001C55A5"/>
    <w:rsid w:val="001C5F47"/>
    <w:rsid w:val="001C5FBD"/>
    <w:rsid w:val="001C60E2"/>
    <w:rsid w:val="001C7969"/>
    <w:rsid w:val="001D0499"/>
    <w:rsid w:val="001D0E89"/>
    <w:rsid w:val="001D1A4C"/>
    <w:rsid w:val="001D1EE4"/>
    <w:rsid w:val="001D29C1"/>
    <w:rsid w:val="001D2FC8"/>
    <w:rsid w:val="001D3E55"/>
    <w:rsid w:val="001D417E"/>
    <w:rsid w:val="001D47F0"/>
    <w:rsid w:val="001D4A39"/>
    <w:rsid w:val="001D5527"/>
    <w:rsid w:val="001D5802"/>
    <w:rsid w:val="001D736D"/>
    <w:rsid w:val="001D7AB0"/>
    <w:rsid w:val="001E0AE9"/>
    <w:rsid w:val="001E0C16"/>
    <w:rsid w:val="001E164C"/>
    <w:rsid w:val="001E17A3"/>
    <w:rsid w:val="001E1DA7"/>
    <w:rsid w:val="001E1DDB"/>
    <w:rsid w:val="001E2157"/>
    <w:rsid w:val="001E2431"/>
    <w:rsid w:val="001E243B"/>
    <w:rsid w:val="001E25B3"/>
    <w:rsid w:val="001E2C6F"/>
    <w:rsid w:val="001E3827"/>
    <w:rsid w:val="001E3D96"/>
    <w:rsid w:val="001E3FE9"/>
    <w:rsid w:val="001E4953"/>
    <w:rsid w:val="001E4EC9"/>
    <w:rsid w:val="001E512C"/>
    <w:rsid w:val="001E5626"/>
    <w:rsid w:val="001E5779"/>
    <w:rsid w:val="001E5A34"/>
    <w:rsid w:val="001E5BC8"/>
    <w:rsid w:val="001E5FC0"/>
    <w:rsid w:val="001E6017"/>
    <w:rsid w:val="001E65E7"/>
    <w:rsid w:val="001E777F"/>
    <w:rsid w:val="001F124A"/>
    <w:rsid w:val="001F1D7B"/>
    <w:rsid w:val="001F1FC0"/>
    <w:rsid w:val="001F315B"/>
    <w:rsid w:val="001F3709"/>
    <w:rsid w:val="001F48CC"/>
    <w:rsid w:val="001F4D89"/>
    <w:rsid w:val="001F58AD"/>
    <w:rsid w:val="001F6B58"/>
    <w:rsid w:val="001F6C3E"/>
    <w:rsid w:val="001F6D2B"/>
    <w:rsid w:val="001F7060"/>
    <w:rsid w:val="001F72D1"/>
    <w:rsid w:val="001F7327"/>
    <w:rsid w:val="001F7626"/>
    <w:rsid w:val="001F7DD6"/>
    <w:rsid w:val="00200B81"/>
    <w:rsid w:val="00200EA5"/>
    <w:rsid w:val="002010C4"/>
    <w:rsid w:val="00201947"/>
    <w:rsid w:val="0020287E"/>
    <w:rsid w:val="002034B6"/>
    <w:rsid w:val="002034D5"/>
    <w:rsid w:val="00203519"/>
    <w:rsid w:val="00204712"/>
    <w:rsid w:val="0020477A"/>
    <w:rsid w:val="00205512"/>
    <w:rsid w:val="0020711B"/>
    <w:rsid w:val="00207678"/>
    <w:rsid w:val="00207A7B"/>
    <w:rsid w:val="00207C29"/>
    <w:rsid w:val="00207C88"/>
    <w:rsid w:val="00207F55"/>
    <w:rsid w:val="00207F91"/>
    <w:rsid w:val="00207FDB"/>
    <w:rsid w:val="00212829"/>
    <w:rsid w:val="00212993"/>
    <w:rsid w:val="00212F0D"/>
    <w:rsid w:val="002134E2"/>
    <w:rsid w:val="00213ACB"/>
    <w:rsid w:val="00213C4C"/>
    <w:rsid w:val="00213C8D"/>
    <w:rsid w:val="00214ABB"/>
    <w:rsid w:val="00215059"/>
    <w:rsid w:val="002154C7"/>
    <w:rsid w:val="00215C96"/>
    <w:rsid w:val="00216E29"/>
    <w:rsid w:val="00220491"/>
    <w:rsid w:val="00220AA9"/>
    <w:rsid w:val="00220DAA"/>
    <w:rsid w:val="0022122A"/>
    <w:rsid w:val="00222371"/>
    <w:rsid w:val="002226EC"/>
    <w:rsid w:val="002230E7"/>
    <w:rsid w:val="00223217"/>
    <w:rsid w:val="00223434"/>
    <w:rsid w:val="002238A1"/>
    <w:rsid w:val="00223EA8"/>
    <w:rsid w:val="00224BAC"/>
    <w:rsid w:val="002265D8"/>
    <w:rsid w:val="00226664"/>
    <w:rsid w:val="00226CB1"/>
    <w:rsid w:val="00227218"/>
    <w:rsid w:val="00230B2F"/>
    <w:rsid w:val="00230BE2"/>
    <w:rsid w:val="0023308F"/>
    <w:rsid w:val="0023463D"/>
    <w:rsid w:val="00234F1F"/>
    <w:rsid w:val="00235254"/>
    <w:rsid w:val="00235D93"/>
    <w:rsid w:val="002362BA"/>
    <w:rsid w:val="002370D2"/>
    <w:rsid w:val="00237167"/>
    <w:rsid w:val="00240D55"/>
    <w:rsid w:val="00241C1B"/>
    <w:rsid w:val="002425FC"/>
    <w:rsid w:val="00242E25"/>
    <w:rsid w:val="0024301D"/>
    <w:rsid w:val="00243CBC"/>
    <w:rsid w:val="00243CD2"/>
    <w:rsid w:val="00243F45"/>
    <w:rsid w:val="00243F9F"/>
    <w:rsid w:val="002442D4"/>
    <w:rsid w:val="00244716"/>
    <w:rsid w:val="00245877"/>
    <w:rsid w:val="002459EC"/>
    <w:rsid w:val="002461E7"/>
    <w:rsid w:val="0024621F"/>
    <w:rsid w:val="0024648A"/>
    <w:rsid w:val="002465CF"/>
    <w:rsid w:val="00246D84"/>
    <w:rsid w:val="002472BE"/>
    <w:rsid w:val="002476AB"/>
    <w:rsid w:val="00247DE4"/>
    <w:rsid w:val="002502B1"/>
    <w:rsid w:val="00250838"/>
    <w:rsid w:val="0025099A"/>
    <w:rsid w:val="00250F7F"/>
    <w:rsid w:val="00254186"/>
    <w:rsid w:val="002544AF"/>
    <w:rsid w:val="002549E6"/>
    <w:rsid w:val="00254B9B"/>
    <w:rsid w:val="00255C58"/>
    <w:rsid w:val="0025727E"/>
    <w:rsid w:val="002572E0"/>
    <w:rsid w:val="0025737E"/>
    <w:rsid w:val="00257CBA"/>
    <w:rsid w:val="00257DD1"/>
    <w:rsid w:val="00260FF0"/>
    <w:rsid w:val="00261C77"/>
    <w:rsid w:val="00261D1E"/>
    <w:rsid w:val="0026230C"/>
    <w:rsid w:val="00262489"/>
    <w:rsid w:val="00262856"/>
    <w:rsid w:val="00263518"/>
    <w:rsid w:val="0026415C"/>
    <w:rsid w:val="0026467E"/>
    <w:rsid w:val="00264794"/>
    <w:rsid w:val="00264CBD"/>
    <w:rsid w:val="00265BF3"/>
    <w:rsid w:val="00265EBD"/>
    <w:rsid w:val="002713C8"/>
    <w:rsid w:val="0027253E"/>
    <w:rsid w:val="002725E9"/>
    <w:rsid w:val="00272DBE"/>
    <w:rsid w:val="00272E3C"/>
    <w:rsid w:val="00272E50"/>
    <w:rsid w:val="00273993"/>
    <w:rsid w:val="00273C59"/>
    <w:rsid w:val="00274566"/>
    <w:rsid w:val="002751C1"/>
    <w:rsid w:val="00275E21"/>
    <w:rsid w:val="002807C1"/>
    <w:rsid w:val="002808B8"/>
    <w:rsid w:val="00280E68"/>
    <w:rsid w:val="0028212E"/>
    <w:rsid w:val="00282AC1"/>
    <w:rsid w:val="00283FCC"/>
    <w:rsid w:val="002845C6"/>
    <w:rsid w:val="00284BBE"/>
    <w:rsid w:val="00285E8E"/>
    <w:rsid w:val="00286A19"/>
    <w:rsid w:val="00286DAE"/>
    <w:rsid w:val="00290315"/>
    <w:rsid w:val="00290EC3"/>
    <w:rsid w:val="002916C5"/>
    <w:rsid w:val="00292399"/>
    <w:rsid w:val="00292768"/>
    <w:rsid w:val="00292D93"/>
    <w:rsid w:val="00292E5E"/>
    <w:rsid w:val="00293920"/>
    <w:rsid w:val="0029433A"/>
    <w:rsid w:val="00295A25"/>
    <w:rsid w:val="00295AA2"/>
    <w:rsid w:val="00295AF8"/>
    <w:rsid w:val="0029697E"/>
    <w:rsid w:val="00296B3A"/>
    <w:rsid w:val="00296B41"/>
    <w:rsid w:val="00297B89"/>
    <w:rsid w:val="002A00AC"/>
    <w:rsid w:val="002A00FF"/>
    <w:rsid w:val="002A0408"/>
    <w:rsid w:val="002A1EB1"/>
    <w:rsid w:val="002A2167"/>
    <w:rsid w:val="002A282D"/>
    <w:rsid w:val="002A3A90"/>
    <w:rsid w:val="002A4047"/>
    <w:rsid w:val="002A4863"/>
    <w:rsid w:val="002A492F"/>
    <w:rsid w:val="002A4972"/>
    <w:rsid w:val="002A6D30"/>
    <w:rsid w:val="002A7BA7"/>
    <w:rsid w:val="002A7EED"/>
    <w:rsid w:val="002B0097"/>
    <w:rsid w:val="002B0506"/>
    <w:rsid w:val="002B0A08"/>
    <w:rsid w:val="002B11DA"/>
    <w:rsid w:val="002B21EF"/>
    <w:rsid w:val="002B2C0D"/>
    <w:rsid w:val="002B39D3"/>
    <w:rsid w:val="002B3F29"/>
    <w:rsid w:val="002B3F8F"/>
    <w:rsid w:val="002B4B1A"/>
    <w:rsid w:val="002B511B"/>
    <w:rsid w:val="002B511F"/>
    <w:rsid w:val="002B5510"/>
    <w:rsid w:val="002B604A"/>
    <w:rsid w:val="002B6CB5"/>
    <w:rsid w:val="002B7102"/>
    <w:rsid w:val="002C0597"/>
    <w:rsid w:val="002C0BC2"/>
    <w:rsid w:val="002C0E8A"/>
    <w:rsid w:val="002C144D"/>
    <w:rsid w:val="002C18FD"/>
    <w:rsid w:val="002C1D0D"/>
    <w:rsid w:val="002C3D53"/>
    <w:rsid w:val="002C3EA3"/>
    <w:rsid w:val="002C44E3"/>
    <w:rsid w:val="002C5596"/>
    <w:rsid w:val="002C56AF"/>
    <w:rsid w:val="002C57E9"/>
    <w:rsid w:val="002C6B72"/>
    <w:rsid w:val="002C7B08"/>
    <w:rsid w:val="002C7BFC"/>
    <w:rsid w:val="002D01AF"/>
    <w:rsid w:val="002D10C6"/>
    <w:rsid w:val="002D1382"/>
    <w:rsid w:val="002D1951"/>
    <w:rsid w:val="002D245A"/>
    <w:rsid w:val="002D2EA8"/>
    <w:rsid w:val="002D2FA5"/>
    <w:rsid w:val="002D3AB7"/>
    <w:rsid w:val="002D4094"/>
    <w:rsid w:val="002D4168"/>
    <w:rsid w:val="002D56E0"/>
    <w:rsid w:val="002D5933"/>
    <w:rsid w:val="002D59D6"/>
    <w:rsid w:val="002D651D"/>
    <w:rsid w:val="002D6C92"/>
    <w:rsid w:val="002D6F46"/>
    <w:rsid w:val="002D730E"/>
    <w:rsid w:val="002D7A9F"/>
    <w:rsid w:val="002E0C51"/>
    <w:rsid w:val="002E228F"/>
    <w:rsid w:val="002E28D1"/>
    <w:rsid w:val="002E2E04"/>
    <w:rsid w:val="002E2FB8"/>
    <w:rsid w:val="002E3E0E"/>
    <w:rsid w:val="002E3F5C"/>
    <w:rsid w:val="002E4CB8"/>
    <w:rsid w:val="002E568C"/>
    <w:rsid w:val="002F1269"/>
    <w:rsid w:val="002F1E82"/>
    <w:rsid w:val="002F206F"/>
    <w:rsid w:val="002F434F"/>
    <w:rsid w:val="002F43B9"/>
    <w:rsid w:val="002F43E0"/>
    <w:rsid w:val="002F58DC"/>
    <w:rsid w:val="002F6E9D"/>
    <w:rsid w:val="002F6EDE"/>
    <w:rsid w:val="002F79AE"/>
    <w:rsid w:val="002F7EFB"/>
    <w:rsid w:val="0030058B"/>
    <w:rsid w:val="00301485"/>
    <w:rsid w:val="0030244D"/>
    <w:rsid w:val="00302AA4"/>
    <w:rsid w:val="00302EF4"/>
    <w:rsid w:val="00303547"/>
    <w:rsid w:val="00303980"/>
    <w:rsid w:val="00303E68"/>
    <w:rsid w:val="00304285"/>
    <w:rsid w:val="00304A8A"/>
    <w:rsid w:val="00305623"/>
    <w:rsid w:val="00306DD1"/>
    <w:rsid w:val="003104E1"/>
    <w:rsid w:val="00310AE8"/>
    <w:rsid w:val="00310C4E"/>
    <w:rsid w:val="00310FE8"/>
    <w:rsid w:val="00311B63"/>
    <w:rsid w:val="003125D7"/>
    <w:rsid w:val="0031361C"/>
    <w:rsid w:val="00314FEB"/>
    <w:rsid w:val="003151FE"/>
    <w:rsid w:val="003156DA"/>
    <w:rsid w:val="003202D4"/>
    <w:rsid w:val="0032071D"/>
    <w:rsid w:val="00320EF8"/>
    <w:rsid w:val="0032137A"/>
    <w:rsid w:val="0032156A"/>
    <w:rsid w:val="00321F89"/>
    <w:rsid w:val="003222FE"/>
    <w:rsid w:val="00322A77"/>
    <w:rsid w:val="00322FA5"/>
    <w:rsid w:val="003238AC"/>
    <w:rsid w:val="00323A0B"/>
    <w:rsid w:val="00324191"/>
    <w:rsid w:val="003242F3"/>
    <w:rsid w:val="00324A1B"/>
    <w:rsid w:val="003257D3"/>
    <w:rsid w:val="00326270"/>
    <w:rsid w:val="00326656"/>
    <w:rsid w:val="0032675B"/>
    <w:rsid w:val="00327575"/>
    <w:rsid w:val="003277F7"/>
    <w:rsid w:val="00330696"/>
    <w:rsid w:val="003312D5"/>
    <w:rsid w:val="00331990"/>
    <w:rsid w:val="0033235F"/>
    <w:rsid w:val="0033280C"/>
    <w:rsid w:val="00332BC1"/>
    <w:rsid w:val="0033348C"/>
    <w:rsid w:val="003336E2"/>
    <w:rsid w:val="00334536"/>
    <w:rsid w:val="003366DF"/>
    <w:rsid w:val="0033794B"/>
    <w:rsid w:val="00340E14"/>
    <w:rsid w:val="00341528"/>
    <w:rsid w:val="0034168D"/>
    <w:rsid w:val="00341E3B"/>
    <w:rsid w:val="0034287C"/>
    <w:rsid w:val="00342D08"/>
    <w:rsid w:val="003434C2"/>
    <w:rsid w:val="003434D3"/>
    <w:rsid w:val="00344535"/>
    <w:rsid w:val="00345157"/>
    <w:rsid w:val="00346565"/>
    <w:rsid w:val="00346B30"/>
    <w:rsid w:val="00346CC2"/>
    <w:rsid w:val="003474AF"/>
    <w:rsid w:val="00347762"/>
    <w:rsid w:val="00347BB4"/>
    <w:rsid w:val="00350091"/>
    <w:rsid w:val="003508F0"/>
    <w:rsid w:val="00351A4E"/>
    <w:rsid w:val="00351AA4"/>
    <w:rsid w:val="00352167"/>
    <w:rsid w:val="00352799"/>
    <w:rsid w:val="0035309D"/>
    <w:rsid w:val="003534F0"/>
    <w:rsid w:val="00354163"/>
    <w:rsid w:val="00354734"/>
    <w:rsid w:val="00354A92"/>
    <w:rsid w:val="00356121"/>
    <w:rsid w:val="003561C6"/>
    <w:rsid w:val="0035621C"/>
    <w:rsid w:val="0035629F"/>
    <w:rsid w:val="0035647C"/>
    <w:rsid w:val="00356547"/>
    <w:rsid w:val="00360884"/>
    <w:rsid w:val="00363D90"/>
    <w:rsid w:val="00364106"/>
    <w:rsid w:val="00364377"/>
    <w:rsid w:val="003649A7"/>
    <w:rsid w:val="003649AF"/>
    <w:rsid w:val="00364F1F"/>
    <w:rsid w:val="00365135"/>
    <w:rsid w:val="00365D2F"/>
    <w:rsid w:val="00366AD1"/>
    <w:rsid w:val="003672A4"/>
    <w:rsid w:val="00370B25"/>
    <w:rsid w:val="00370B5C"/>
    <w:rsid w:val="003713E1"/>
    <w:rsid w:val="003725B7"/>
    <w:rsid w:val="00372B67"/>
    <w:rsid w:val="00372F59"/>
    <w:rsid w:val="003750F6"/>
    <w:rsid w:val="00375287"/>
    <w:rsid w:val="003754C6"/>
    <w:rsid w:val="003755DC"/>
    <w:rsid w:val="003756FA"/>
    <w:rsid w:val="00375974"/>
    <w:rsid w:val="003759E6"/>
    <w:rsid w:val="00376C80"/>
    <w:rsid w:val="003775BC"/>
    <w:rsid w:val="00377A85"/>
    <w:rsid w:val="00377BB2"/>
    <w:rsid w:val="003803BE"/>
    <w:rsid w:val="00380C49"/>
    <w:rsid w:val="0038160C"/>
    <w:rsid w:val="00381D2D"/>
    <w:rsid w:val="0038202B"/>
    <w:rsid w:val="003822D7"/>
    <w:rsid w:val="00382432"/>
    <w:rsid w:val="003824EB"/>
    <w:rsid w:val="0038351B"/>
    <w:rsid w:val="003835D4"/>
    <w:rsid w:val="00383A04"/>
    <w:rsid w:val="003845BA"/>
    <w:rsid w:val="0038467F"/>
    <w:rsid w:val="0038498E"/>
    <w:rsid w:val="00384B6B"/>
    <w:rsid w:val="003855E0"/>
    <w:rsid w:val="0038588A"/>
    <w:rsid w:val="00385B5B"/>
    <w:rsid w:val="00385EF9"/>
    <w:rsid w:val="00386626"/>
    <w:rsid w:val="0038717F"/>
    <w:rsid w:val="003879A3"/>
    <w:rsid w:val="00390613"/>
    <w:rsid w:val="00390750"/>
    <w:rsid w:val="00390757"/>
    <w:rsid w:val="003908EE"/>
    <w:rsid w:val="00390E49"/>
    <w:rsid w:val="003916E4"/>
    <w:rsid w:val="00391F56"/>
    <w:rsid w:val="003921FF"/>
    <w:rsid w:val="0039243E"/>
    <w:rsid w:val="003930BE"/>
    <w:rsid w:val="00393DA9"/>
    <w:rsid w:val="00393F2F"/>
    <w:rsid w:val="0039479C"/>
    <w:rsid w:val="003951AB"/>
    <w:rsid w:val="0039570F"/>
    <w:rsid w:val="00396A24"/>
    <w:rsid w:val="00396C80"/>
    <w:rsid w:val="0039703D"/>
    <w:rsid w:val="0039712C"/>
    <w:rsid w:val="00397154"/>
    <w:rsid w:val="00397331"/>
    <w:rsid w:val="003A03AC"/>
    <w:rsid w:val="003A0889"/>
    <w:rsid w:val="003A0AC7"/>
    <w:rsid w:val="003A0B34"/>
    <w:rsid w:val="003A0D67"/>
    <w:rsid w:val="003A1911"/>
    <w:rsid w:val="003A1D72"/>
    <w:rsid w:val="003A3252"/>
    <w:rsid w:val="003A33E8"/>
    <w:rsid w:val="003A35CD"/>
    <w:rsid w:val="003A3769"/>
    <w:rsid w:val="003A4828"/>
    <w:rsid w:val="003A50B4"/>
    <w:rsid w:val="003A581D"/>
    <w:rsid w:val="003A5F0A"/>
    <w:rsid w:val="003A64E7"/>
    <w:rsid w:val="003A7677"/>
    <w:rsid w:val="003A7F0C"/>
    <w:rsid w:val="003B0943"/>
    <w:rsid w:val="003B149E"/>
    <w:rsid w:val="003B23A6"/>
    <w:rsid w:val="003B3BA5"/>
    <w:rsid w:val="003B5A66"/>
    <w:rsid w:val="003B6497"/>
    <w:rsid w:val="003B757B"/>
    <w:rsid w:val="003B7DA3"/>
    <w:rsid w:val="003C0184"/>
    <w:rsid w:val="003C0B19"/>
    <w:rsid w:val="003C1406"/>
    <w:rsid w:val="003C174C"/>
    <w:rsid w:val="003C1CE7"/>
    <w:rsid w:val="003C28E6"/>
    <w:rsid w:val="003C2CE8"/>
    <w:rsid w:val="003C31DF"/>
    <w:rsid w:val="003C3489"/>
    <w:rsid w:val="003C34B4"/>
    <w:rsid w:val="003C44CC"/>
    <w:rsid w:val="003C4753"/>
    <w:rsid w:val="003C4BD2"/>
    <w:rsid w:val="003C4DAC"/>
    <w:rsid w:val="003C565C"/>
    <w:rsid w:val="003C5F33"/>
    <w:rsid w:val="003C61BB"/>
    <w:rsid w:val="003C65DB"/>
    <w:rsid w:val="003C71FD"/>
    <w:rsid w:val="003C7A51"/>
    <w:rsid w:val="003C7CEE"/>
    <w:rsid w:val="003C7E2B"/>
    <w:rsid w:val="003C7F6C"/>
    <w:rsid w:val="003D043D"/>
    <w:rsid w:val="003D1948"/>
    <w:rsid w:val="003D2706"/>
    <w:rsid w:val="003D3472"/>
    <w:rsid w:val="003D3790"/>
    <w:rsid w:val="003D489C"/>
    <w:rsid w:val="003D5073"/>
    <w:rsid w:val="003D5589"/>
    <w:rsid w:val="003D58A1"/>
    <w:rsid w:val="003D6FD7"/>
    <w:rsid w:val="003D72EF"/>
    <w:rsid w:val="003D785C"/>
    <w:rsid w:val="003E06E3"/>
    <w:rsid w:val="003E10E7"/>
    <w:rsid w:val="003E1B4D"/>
    <w:rsid w:val="003E2349"/>
    <w:rsid w:val="003E310B"/>
    <w:rsid w:val="003E33AB"/>
    <w:rsid w:val="003E34E3"/>
    <w:rsid w:val="003E4462"/>
    <w:rsid w:val="003E4B06"/>
    <w:rsid w:val="003E6762"/>
    <w:rsid w:val="003E70D7"/>
    <w:rsid w:val="003E7472"/>
    <w:rsid w:val="003E77C1"/>
    <w:rsid w:val="003F00D6"/>
    <w:rsid w:val="003F0361"/>
    <w:rsid w:val="003F0A2C"/>
    <w:rsid w:val="003F0B0D"/>
    <w:rsid w:val="003F109D"/>
    <w:rsid w:val="003F12E2"/>
    <w:rsid w:val="003F1E1E"/>
    <w:rsid w:val="003F1FA4"/>
    <w:rsid w:val="003F2125"/>
    <w:rsid w:val="003F2141"/>
    <w:rsid w:val="003F21D2"/>
    <w:rsid w:val="003F41FE"/>
    <w:rsid w:val="003F43D8"/>
    <w:rsid w:val="003F5033"/>
    <w:rsid w:val="003F5835"/>
    <w:rsid w:val="003F5EAE"/>
    <w:rsid w:val="003F6BBF"/>
    <w:rsid w:val="00402BAD"/>
    <w:rsid w:val="00403151"/>
    <w:rsid w:val="00403319"/>
    <w:rsid w:val="00403506"/>
    <w:rsid w:val="004038A2"/>
    <w:rsid w:val="00404FC3"/>
    <w:rsid w:val="00405866"/>
    <w:rsid w:val="00405B78"/>
    <w:rsid w:val="00406140"/>
    <w:rsid w:val="004063E4"/>
    <w:rsid w:val="004063FF"/>
    <w:rsid w:val="00407B3A"/>
    <w:rsid w:val="00411087"/>
    <w:rsid w:val="0041157E"/>
    <w:rsid w:val="00411C96"/>
    <w:rsid w:val="00411CB1"/>
    <w:rsid w:val="00412368"/>
    <w:rsid w:val="004127EE"/>
    <w:rsid w:val="004132AD"/>
    <w:rsid w:val="00413552"/>
    <w:rsid w:val="00414403"/>
    <w:rsid w:val="004155F2"/>
    <w:rsid w:val="004159E1"/>
    <w:rsid w:val="0041620E"/>
    <w:rsid w:val="00416514"/>
    <w:rsid w:val="004170C7"/>
    <w:rsid w:val="00417534"/>
    <w:rsid w:val="004175BE"/>
    <w:rsid w:val="00417C9A"/>
    <w:rsid w:val="00420EE7"/>
    <w:rsid w:val="004211F0"/>
    <w:rsid w:val="0042128B"/>
    <w:rsid w:val="004217C0"/>
    <w:rsid w:val="00421D24"/>
    <w:rsid w:val="00421DB0"/>
    <w:rsid w:val="00422070"/>
    <w:rsid w:val="00422807"/>
    <w:rsid w:val="00422AD4"/>
    <w:rsid w:val="00423699"/>
    <w:rsid w:val="00423E37"/>
    <w:rsid w:val="00424229"/>
    <w:rsid w:val="0042477C"/>
    <w:rsid w:val="0042547D"/>
    <w:rsid w:val="004254DD"/>
    <w:rsid w:val="00425626"/>
    <w:rsid w:val="004261C4"/>
    <w:rsid w:val="00426740"/>
    <w:rsid w:val="004270A1"/>
    <w:rsid w:val="00427226"/>
    <w:rsid w:val="00427315"/>
    <w:rsid w:val="00430298"/>
    <w:rsid w:val="00431371"/>
    <w:rsid w:val="00431867"/>
    <w:rsid w:val="00431B87"/>
    <w:rsid w:val="00431D4C"/>
    <w:rsid w:val="0043267E"/>
    <w:rsid w:val="00432BAD"/>
    <w:rsid w:val="004342FE"/>
    <w:rsid w:val="0043461C"/>
    <w:rsid w:val="00434CE1"/>
    <w:rsid w:val="00435A67"/>
    <w:rsid w:val="00435AF4"/>
    <w:rsid w:val="00436A4F"/>
    <w:rsid w:val="00437665"/>
    <w:rsid w:val="0043775D"/>
    <w:rsid w:val="004379E7"/>
    <w:rsid w:val="00437B90"/>
    <w:rsid w:val="00437EAB"/>
    <w:rsid w:val="00440790"/>
    <w:rsid w:val="00441A70"/>
    <w:rsid w:val="00441C04"/>
    <w:rsid w:val="004431F8"/>
    <w:rsid w:val="004459DF"/>
    <w:rsid w:val="00446649"/>
    <w:rsid w:val="004467B2"/>
    <w:rsid w:val="004467B5"/>
    <w:rsid w:val="00446B21"/>
    <w:rsid w:val="00446CA4"/>
    <w:rsid w:val="00446E63"/>
    <w:rsid w:val="00447151"/>
    <w:rsid w:val="00447E21"/>
    <w:rsid w:val="00447F60"/>
    <w:rsid w:val="00447F9E"/>
    <w:rsid w:val="00450AEF"/>
    <w:rsid w:val="00450D5C"/>
    <w:rsid w:val="004517D3"/>
    <w:rsid w:val="00451C86"/>
    <w:rsid w:val="00451DEC"/>
    <w:rsid w:val="00451F8F"/>
    <w:rsid w:val="00452510"/>
    <w:rsid w:val="00452572"/>
    <w:rsid w:val="004528C2"/>
    <w:rsid w:val="004528F5"/>
    <w:rsid w:val="00453035"/>
    <w:rsid w:val="0045376F"/>
    <w:rsid w:val="00454686"/>
    <w:rsid w:val="00454A89"/>
    <w:rsid w:val="004554C4"/>
    <w:rsid w:val="004560C4"/>
    <w:rsid w:val="00456D40"/>
    <w:rsid w:val="004613F9"/>
    <w:rsid w:val="00461931"/>
    <w:rsid w:val="0046262A"/>
    <w:rsid w:val="00462770"/>
    <w:rsid w:val="004632BD"/>
    <w:rsid w:val="00463DF7"/>
    <w:rsid w:val="004640A5"/>
    <w:rsid w:val="00464116"/>
    <w:rsid w:val="00464992"/>
    <w:rsid w:val="00464EE9"/>
    <w:rsid w:val="00465886"/>
    <w:rsid w:val="004658A9"/>
    <w:rsid w:val="0046617F"/>
    <w:rsid w:val="0046638F"/>
    <w:rsid w:val="00467C7A"/>
    <w:rsid w:val="00467DD1"/>
    <w:rsid w:val="00470297"/>
    <w:rsid w:val="00470B1D"/>
    <w:rsid w:val="0047129D"/>
    <w:rsid w:val="00471A1E"/>
    <w:rsid w:val="004721B8"/>
    <w:rsid w:val="00472D2F"/>
    <w:rsid w:val="00473CB4"/>
    <w:rsid w:val="004747B5"/>
    <w:rsid w:val="00474EA7"/>
    <w:rsid w:val="004750E1"/>
    <w:rsid w:val="00475240"/>
    <w:rsid w:val="0047527C"/>
    <w:rsid w:val="0047612E"/>
    <w:rsid w:val="00476357"/>
    <w:rsid w:val="00476472"/>
    <w:rsid w:val="00476E0C"/>
    <w:rsid w:val="00477162"/>
    <w:rsid w:val="004779F9"/>
    <w:rsid w:val="0048027F"/>
    <w:rsid w:val="00480628"/>
    <w:rsid w:val="0048168D"/>
    <w:rsid w:val="00482124"/>
    <w:rsid w:val="004821B3"/>
    <w:rsid w:val="00483183"/>
    <w:rsid w:val="0048322A"/>
    <w:rsid w:val="00484690"/>
    <w:rsid w:val="0048603C"/>
    <w:rsid w:val="00486829"/>
    <w:rsid w:val="0048695F"/>
    <w:rsid w:val="00487A47"/>
    <w:rsid w:val="00490BA2"/>
    <w:rsid w:val="00490F15"/>
    <w:rsid w:val="00491217"/>
    <w:rsid w:val="00491295"/>
    <w:rsid w:val="00492417"/>
    <w:rsid w:val="004931A2"/>
    <w:rsid w:val="004946C8"/>
    <w:rsid w:val="0049488A"/>
    <w:rsid w:val="00496EA3"/>
    <w:rsid w:val="004971EE"/>
    <w:rsid w:val="0049749C"/>
    <w:rsid w:val="00497B3E"/>
    <w:rsid w:val="00497CC6"/>
    <w:rsid w:val="00497CFD"/>
    <w:rsid w:val="004A0DE6"/>
    <w:rsid w:val="004A1608"/>
    <w:rsid w:val="004A1CB3"/>
    <w:rsid w:val="004A1DAE"/>
    <w:rsid w:val="004A295B"/>
    <w:rsid w:val="004A3966"/>
    <w:rsid w:val="004A3AF5"/>
    <w:rsid w:val="004A4132"/>
    <w:rsid w:val="004A42CB"/>
    <w:rsid w:val="004A50BF"/>
    <w:rsid w:val="004A515C"/>
    <w:rsid w:val="004A587E"/>
    <w:rsid w:val="004A58DD"/>
    <w:rsid w:val="004A5AE9"/>
    <w:rsid w:val="004A73A0"/>
    <w:rsid w:val="004A7DD8"/>
    <w:rsid w:val="004B1A0A"/>
    <w:rsid w:val="004B34D4"/>
    <w:rsid w:val="004B3D47"/>
    <w:rsid w:val="004B4836"/>
    <w:rsid w:val="004B5AB3"/>
    <w:rsid w:val="004B5BB2"/>
    <w:rsid w:val="004B5D42"/>
    <w:rsid w:val="004B5FE4"/>
    <w:rsid w:val="004B7CEA"/>
    <w:rsid w:val="004C13DD"/>
    <w:rsid w:val="004C1BB9"/>
    <w:rsid w:val="004C2043"/>
    <w:rsid w:val="004C26DD"/>
    <w:rsid w:val="004C2F46"/>
    <w:rsid w:val="004C326F"/>
    <w:rsid w:val="004C32A9"/>
    <w:rsid w:val="004C34AD"/>
    <w:rsid w:val="004C3CDF"/>
    <w:rsid w:val="004C50EC"/>
    <w:rsid w:val="004C5426"/>
    <w:rsid w:val="004C5A5E"/>
    <w:rsid w:val="004C6F53"/>
    <w:rsid w:val="004C6FAC"/>
    <w:rsid w:val="004D0012"/>
    <w:rsid w:val="004D1271"/>
    <w:rsid w:val="004D1365"/>
    <w:rsid w:val="004D1BFF"/>
    <w:rsid w:val="004D2164"/>
    <w:rsid w:val="004D21E6"/>
    <w:rsid w:val="004D2B64"/>
    <w:rsid w:val="004D2CD2"/>
    <w:rsid w:val="004D343F"/>
    <w:rsid w:val="004D3B2C"/>
    <w:rsid w:val="004D3C4F"/>
    <w:rsid w:val="004D3D6F"/>
    <w:rsid w:val="004D4227"/>
    <w:rsid w:val="004D505B"/>
    <w:rsid w:val="004D5AB4"/>
    <w:rsid w:val="004D68E8"/>
    <w:rsid w:val="004D693F"/>
    <w:rsid w:val="004D7413"/>
    <w:rsid w:val="004D7711"/>
    <w:rsid w:val="004E0D5C"/>
    <w:rsid w:val="004E0E1F"/>
    <w:rsid w:val="004E1070"/>
    <w:rsid w:val="004E240A"/>
    <w:rsid w:val="004E2795"/>
    <w:rsid w:val="004E2C54"/>
    <w:rsid w:val="004E3542"/>
    <w:rsid w:val="004E4036"/>
    <w:rsid w:val="004E4EF5"/>
    <w:rsid w:val="004E62B0"/>
    <w:rsid w:val="004E7665"/>
    <w:rsid w:val="004E78C4"/>
    <w:rsid w:val="004E7A05"/>
    <w:rsid w:val="004F02A0"/>
    <w:rsid w:val="004F0AA8"/>
    <w:rsid w:val="004F0D20"/>
    <w:rsid w:val="004F1158"/>
    <w:rsid w:val="004F1541"/>
    <w:rsid w:val="004F4368"/>
    <w:rsid w:val="004F47FE"/>
    <w:rsid w:val="004F4811"/>
    <w:rsid w:val="004F4F12"/>
    <w:rsid w:val="004F5489"/>
    <w:rsid w:val="004F64FF"/>
    <w:rsid w:val="004F6517"/>
    <w:rsid w:val="004F65A0"/>
    <w:rsid w:val="004F674A"/>
    <w:rsid w:val="004F6C2F"/>
    <w:rsid w:val="004F7960"/>
    <w:rsid w:val="005005EA"/>
    <w:rsid w:val="005006EB"/>
    <w:rsid w:val="00500A40"/>
    <w:rsid w:val="00501625"/>
    <w:rsid w:val="0050174B"/>
    <w:rsid w:val="00501870"/>
    <w:rsid w:val="00501B3B"/>
    <w:rsid w:val="00502282"/>
    <w:rsid w:val="005026F6"/>
    <w:rsid w:val="00502A60"/>
    <w:rsid w:val="00503617"/>
    <w:rsid w:val="005040B4"/>
    <w:rsid w:val="00505914"/>
    <w:rsid w:val="00505D2A"/>
    <w:rsid w:val="00505DDF"/>
    <w:rsid w:val="00506628"/>
    <w:rsid w:val="00506B01"/>
    <w:rsid w:val="00506D99"/>
    <w:rsid w:val="0050708E"/>
    <w:rsid w:val="00507383"/>
    <w:rsid w:val="005076C6"/>
    <w:rsid w:val="00507F53"/>
    <w:rsid w:val="00510101"/>
    <w:rsid w:val="00510864"/>
    <w:rsid w:val="00510A5B"/>
    <w:rsid w:val="00510E72"/>
    <w:rsid w:val="005113E8"/>
    <w:rsid w:val="0051222D"/>
    <w:rsid w:val="005143F4"/>
    <w:rsid w:val="005143F5"/>
    <w:rsid w:val="00514813"/>
    <w:rsid w:val="00514A56"/>
    <w:rsid w:val="00514E31"/>
    <w:rsid w:val="00514FF0"/>
    <w:rsid w:val="005150E4"/>
    <w:rsid w:val="00515332"/>
    <w:rsid w:val="00515D89"/>
    <w:rsid w:val="00515FB2"/>
    <w:rsid w:val="00516687"/>
    <w:rsid w:val="00517C6C"/>
    <w:rsid w:val="005200B8"/>
    <w:rsid w:val="005205EF"/>
    <w:rsid w:val="005208C5"/>
    <w:rsid w:val="005210DD"/>
    <w:rsid w:val="00521AF2"/>
    <w:rsid w:val="00521C72"/>
    <w:rsid w:val="005226D3"/>
    <w:rsid w:val="00522946"/>
    <w:rsid w:val="00522D86"/>
    <w:rsid w:val="00522E09"/>
    <w:rsid w:val="005232D2"/>
    <w:rsid w:val="00523A1F"/>
    <w:rsid w:val="00524B77"/>
    <w:rsid w:val="00525022"/>
    <w:rsid w:val="00525325"/>
    <w:rsid w:val="00526418"/>
    <w:rsid w:val="0052650C"/>
    <w:rsid w:val="00526739"/>
    <w:rsid w:val="005267D7"/>
    <w:rsid w:val="00527568"/>
    <w:rsid w:val="005277C2"/>
    <w:rsid w:val="005301AA"/>
    <w:rsid w:val="00530BF7"/>
    <w:rsid w:val="00532258"/>
    <w:rsid w:val="00532313"/>
    <w:rsid w:val="0053236D"/>
    <w:rsid w:val="005323AC"/>
    <w:rsid w:val="00532C7D"/>
    <w:rsid w:val="00533C8D"/>
    <w:rsid w:val="00534B64"/>
    <w:rsid w:val="00534E3C"/>
    <w:rsid w:val="00534F34"/>
    <w:rsid w:val="0053519E"/>
    <w:rsid w:val="00535BC8"/>
    <w:rsid w:val="00536882"/>
    <w:rsid w:val="00536D42"/>
    <w:rsid w:val="00536E09"/>
    <w:rsid w:val="00536E93"/>
    <w:rsid w:val="005372B3"/>
    <w:rsid w:val="00537A08"/>
    <w:rsid w:val="00537D56"/>
    <w:rsid w:val="00540291"/>
    <w:rsid w:val="00540E4D"/>
    <w:rsid w:val="005418A0"/>
    <w:rsid w:val="00541BFA"/>
    <w:rsid w:val="00542944"/>
    <w:rsid w:val="00542EE6"/>
    <w:rsid w:val="005432D7"/>
    <w:rsid w:val="00543406"/>
    <w:rsid w:val="00543830"/>
    <w:rsid w:val="00543DEF"/>
    <w:rsid w:val="00543EE6"/>
    <w:rsid w:val="00544548"/>
    <w:rsid w:val="005466A9"/>
    <w:rsid w:val="00550893"/>
    <w:rsid w:val="00550F36"/>
    <w:rsid w:val="00550F69"/>
    <w:rsid w:val="00551392"/>
    <w:rsid w:val="005514DA"/>
    <w:rsid w:val="00551A25"/>
    <w:rsid w:val="00552A03"/>
    <w:rsid w:val="0055357B"/>
    <w:rsid w:val="00553B1A"/>
    <w:rsid w:val="00554297"/>
    <w:rsid w:val="005548C1"/>
    <w:rsid w:val="00555546"/>
    <w:rsid w:val="00556472"/>
    <w:rsid w:val="005573F4"/>
    <w:rsid w:val="005576EE"/>
    <w:rsid w:val="0055778B"/>
    <w:rsid w:val="005579DC"/>
    <w:rsid w:val="00557BD9"/>
    <w:rsid w:val="00560491"/>
    <w:rsid w:val="0056054A"/>
    <w:rsid w:val="005613E0"/>
    <w:rsid w:val="0056160B"/>
    <w:rsid w:val="005620A4"/>
    <w:rsid w:val="00562DD3"/>
    <w:rsid w:val="005640EA"/>
    <w:rsid w:val="00564172"/>
    <w:rsid w:val="0056495E"/>
    <w:rsid w:val="00564F73"/>
    <w:rsid w:val="0056508F"/>
    <w:rsid w:val="00565402"/>
    <w:rsid w:val="0056581C"/>
    <w:rsid w:val="005660F6"/>
    <w:rsid w:val="00566314"/>
    <w:rsid w:val="005679FA"/>
    <w:rsid w:val="005714A8"/>
    <w:rsid w:val="005716C1"/>
    <w:rsid w:val="00571FA0"/>
    <w:rsid w:val="00574549"/>
    <w:rsid w:val="00574DF7"/>
    <w:rsid w:val="00575A42"/>
    <w:rsid w:val="00575CAD"/>
    <w:rsid w:val="0057629D"/>
    <w:rsid w:val="00577F81"/>
    <w:rsid w:val="00580DBC"/>
    <w:rsid w:val="00581AA7"/>
    <w:rsid w:val="00583327"/>
    <w:rsid w:val="00584240"/>
    <w:rsid w:val="00584A51"/>
    <w:rsid w:val="00584A9F"/>
    <w:rsid w:val="00584D8F"/>
    <w:rsid w:val="00585824"/>
    <w:rsid w:val="00586019"/>
    <w:rsid w:val="005862F7"/>
    <w:rsid w:val="00586304"/>
    <w:rsid w:val="005864A7"/>
    <w:rsid w:val="00586B8D"/>
    <w:rsid w:val="00587C36"/>
    <w:rsid w:val="005904C6"/>
    <w:rsid w:val="00590755"/>
    <w:rsid w:val="00590B0D"/>
    <w:rsid w:val="00591529"/>
    <w:rsid w:val="00591FC5"/>
    <w:rsid w:val="0059279E"/>
    <w:rsid w:val="00593957"/>
    <w:rsid w:val="00594F8B"/>
    <w:rsid w:val="00597F06"/>
    <w:rsid w:val="005A0BB2"/>
    <w:rsid w:val="005A2631"/>
    <w:rsid w:val="005A27D3"/>
    <w:rsid w:val="005A2987"/>
    <w:rsid w:val="005A2C85"/>
    <w:rsid w:val="005A2F26"/>
    <w:rsid w:val="005A50F4"/>
    <w:rsid w:val="005A57F7"/>
    <w:rsid w:val="005A6A82"/>
    <w:rsid w:val="005A7156"/>
    <w:rsid w:val="005A76CB"/>
    <w:rsid w:val="005A7E2A"/>
    <w:rsid w:val="005B08C4"/>
    <w:rsid w:val="005B2FE4"/>
    <w:rsid w:val="005B33B9"/>
    <w:rsid w:val="005B3F9F"/>
    <w:rsid w:val="005B41A5"/>
    <w:rsid w:val="005B5E6E"/>
    <w:rsid w:val="005B5F1A"/>
    <w:rsid w:val="005B684C"/>
    <w:rsid w:val="005B6B31"/>
    <w:rsid w:val="005B732E"/>
    <w:rsid w:val="005C0381"/>
    <w:rsid w:val="005C055D"/>
    <w:rsid w:val="005C0570"/>
    <w:rsid w:val="005C0E30"/>
    <w:rsid w:val="005C0EC2"/>
    <w:rsid w:val="005C1158"/>
    <w:rsid w:val="005C1D08"/>
    <w:rsid w:val="005C4F28"/>
    <w:rsid w:val="005C64C9"/>
    <w:rsid w:val="005C6560"/>
    <w:rsid w:val="005C67AC"/>
    <w:rsid w:val="005C6BD8"/>
    <w:rsid w:val="005D04DD"/>
    <w:rsid w:val="005D0F72"/>
    <w:rsid w:val="005D103E"/>
    <w:rsid w:val="005D11A6"/>
    <w:rsid w:val="005D1BB0"/>
    <w:rsid w:val="005D3056"/>
    <w:rsid w:val="005D313D"/>
    <w:rsid w:val="005D33A3"/>
    <w:rsid w:val="005D38E4"/>
    <w:rsid w:val="005D4466"/>
    <w:rsid w:val="005D4C8A"/>
    <w:rsid w:val="005D5683"/>
    <w:rsid w:val="005D5859"/>
    <w:rsid w:val="005D601F"/>
    <w:rsid w:val="005D650E"/>
    <w:rsid w:val="005D7416"/>
    <w:rsid w:val="005D79A7"/>
    <w:rsid w:val="005E01B0"/>
    <w:rsid w:val="005E02EB"/>
    <w:rsid w:val="005E064C"/>
    <w:rsid w:val="005E14C8"/>
    <w:rsid w:val="005E1686"/>
    <w:rsid w:val="005E1A47"/>
    <w:rsid w:val="005E21EC"/>
    <w:rsid w:val="005E2289"/>
    <w:rsid w:val="005E26C2"/>
    <w:rsid w:val="005E317F"/>
    <w:rsid w:val="005E3971"/>
    <w:rsid w:val="005E3EA6"/>
    <w:rsid w:val="005E4B1B"/>
    <w:rsid w:val="005E4B4C"/>
    <w:rsid w:val="005E4D82"/>
    <w:rsid w:val="005E5059"/>
    <w:rsid w:val="005E58F3"/>
    <w:rsid w:val="005E592E"/>
    <w:rsid w:val="005E5958"/>
    <w:rsid w:val="005E624E"/>
    <w:rsid w:val="005E6484"/>
    <w:rsid w:val="005E7D08"/>
    <w:rsid w:val="005F0979"/>
    <w:rsid w:val="005F0A5D"/>
    <w:rsid w:val="005F11FC"/>
    <w:rsid w:val="005F2895"/>
    <w:rsid w:val="005F3459"/>
    <w:rsid w:val="005F36E7"/>
    <w:rsid w:val="005F38B9"/>
    <w:rsid w:val="005F47CA"/>
    <w:rsid w:val="005F5DDD"/>
    <w:rsid w:val="005F64EC"/>
    <w:rsid w:val="005F6BF7"/>
    <w:rsid w:val="00600003"/>
    <w:rsid w:val="0060049E"/>
    <w:rsid w:val="006009ED"/>
    <w:rsid w:val="00601268"/>
    <w:rsid w:val="00601529"/>
    <w:rsid w:val="006018B2"/>
    <w:rsid w:val="00601902"/>
    <w:rsid w:val="0060228A"/>
    <w:rsid w:val="0060266A"/>
    <w:rsid w:val="00602D89"/>
    <w:rsid w:val="00602D8F"/>
    <w:rsid w:val="00602FF7"/>
    <w:rsid w:val="00603597"/>
    <w:rsid w:val="006039E1"/>
    <w:rsid w:val="00603AAC"/>
    <w:rsid w:val="00603C67"/>
    <w:rsid w:val="00604146"/>
    <w:rsid w:val="0060438E"/>
    <w:rsid w:val="00605430"/>
    <w:rsid w:val="0060573F"/>
    <w:rsid w:val="00605904"/>
    <w:rsid w:val="0060627F"/>
    <w:rsid w:val="00606933"/>
    <w:rsid w:val="00607644"/>
    <w:rsid w:val="006079B3"/>
    <w:rsid w:val="00607E30"/>
    <w:rsid w:val="00610732"/>
    <w:rsid w:val="00610F18"/>
    <w:rsid w:val="006110A2"/>
    <w:rsid w:val="00611477"/>
    <w:rsid w:val="00611794"/>
    <w:rsid w:val="006117F6"/>
    <w:rsid w:val="00611C86"/>
    <w:rsid w:val="00611F5A"/>
    <w:rsid w:val="00612495"/>
    <w:rsid w:val="0061293B"/>
    <w:rsid w:val="00613331"/>
    <w:rsid w:val="006149D4"/>
    <w:rsid w:val="00614D9B"/>
    <w:rsid w:val="006158E5"/>
    <w:rsid w:val="00615BF7"/>
    <w:rsid w:val="00617592"/>
    <w:rsid w:val="00617CB2"/>
    <w:rsid w:val="006217BC"/>
    <w:rsid w:val="00621AE5"/>
    <w:rsid w:val="0062276E"/>
    <w:rsid w:val="00623551"/>
    <w:rsid w:val="0062618A"/>
    <w:rsid w:val="00626D6A"/>
    <w:rsid w:val="00627177"/>
    <w:rsid w:val="00632402"/>
    <w:rsid w:val="0063269D"/>
    <w:rsid w:val="00633555"/>
    <w:rsid w:val="00633F56"/>
    <w:rsid w:val="00634DCA"/>
    <w:rsid w:val="00635615"/>
    <w:rsid w:val="00635F8E"/>
    <w:rsid w:val="00640F58"/>
    <w:rsid w:val="006410D5"/>
    <w:rsid w:val="00641262"/>
    <w:rsid w:val="006417D4"/>
    <w:rsid w:val="00641CC1"/>
    <w:rsid w:val="006425E8"/>
    <w:rsid w:val="0064309D"/>
    <w:rsid w:val="00643419"/>
    <w:rsid w:val="00643A89"/>
    <w:rsid w:val="00644253"/>
    <w:rsid w:val="00644402"/>
    <w:rsid w:val="00645C76"/>
    <w:rsid w:val="00645D86"/>
    <w:rsid w:val="0064639F"/>
    <w:rsid w:val="00646DA1"/>
    <w:rsid w:val="006507C8"/>
    <w:rsid w:val="00650EA4"/>
    <w:rsid w:val="00650F16"/>
    <w:rsid w:val="00651405"/>
    <w:rsid w:val="00651A42"/>
    <w:rsid w:val="00652B3C"/>
    <w:rsid w:val="00653581"/>
    <w:rsid w:val="006536B0"/>
    <w:rsid w:val="00654CBC"/>
    <w:rsid w:val="006554BB"/>
    <w:rsid w:val="00655EE7"/>
    <w:rsid w:val="006567CD"/>
    <w:rsid w:val="00657063"/>
    <w:rsid w:val="0066089E"/>
    <w:rsid w:val="00660B8E"/>
    <w:rsid w:val="00660C11"/>
    <w:rsid w:val="00660C4C"/>
    <w:rsid w:val="00661FA4"/>
    <w:rsid w:val="00662681"/>
    <w:rsid w:val="00662BB4"/>
    <w:rsid w:val="00662D71"/>
    <w:rsid w:val="00663857"/>
    <w:rsid w:val="00663BB1"/>
    <w:rsid w:val="00663BD7"/>
    <w:rsid w:val="006642C1"/>
    <w:rsid w:val="0066486A"/>
    <w:rsid w:val="00664D9D"/>
    <w:rsid w:val="00665BFC"/>
    <w:rsid w:val="00666568"/>
    <w:rsid w:val="00666612"/>
    <w:rsid w:val="0066775B"/>
    <w:rsid w:val="00670048"/>
    <w:rsid w:val="006700AA"/>
    <w:rsid w:val="006703CC"/>
    <w:rsid w:val="00670613"/>
    <w:rsid w:val="00670F7B"/>
    <w:rsid w:val="00671CE9"/>
    <w:rsid w:val="006746E7"/>
    <w:rsid w:val="00676915"/>
    <w:rsid w:val="0067693E"/>
    <w:rsid w:val="00677335"/>
    <w:rsid w:val="00677BAF"/>
    <w:rsid w:val="006802B4"/>
    <w:rsid w:val="00680325"/>
    <w:rsid w:val="006803D9"/>
    <w:rsid w:val="00680545"/>
    <w:rsid w:val="00681CC9"/>
    <w:rsid w:val="00681FB9"/>
    <w:rsid w:val="0068214C"/>
    <w:rsid w:val="006822DF"/>
    <w:rsid w:val="00682B1D"/>
    <w:rsid w:val="00682B26"/>
    <w:rsid w:val="00684625"/>
    <w:rsid w:val="00685387"/>
    <w:rsid w:val="00686718"/>
    <w:rsid w:val="006878AC"/>
    <w:rsid w:val="00687ECF"/>
    <w:rsid w:val="006908A7"/>
    <w:rsid w:val="006910E5"/>
    <w:rsid w:val="00691D4B"/>
    <w:rsid w:val="00692431"/>
    <w:rsid w:val="00692680"/>
    <w:rsid w:val="0069282B"/>
    <w:rsid w:val="006929A6"/>
    <w:rsid w:val="00692DAA"/>
    <w:rsid w:val="00693DD6"/>
    <w:rsid w:val="00693E8B"/>
    <w:rsid w:val="0069408F"/>
    <w:rsid w:val="006940C5"/>
    <w:rsid w:val="00694A99"/>
    <w:rsid w:val="00695191"/>
    <w:rsid w:val="0069561F"/>
    <w:rsid w:val="0069573B"/>
    <w:rsid w:val="00696473"/>
    <w:rsid w:val="00696513"/>
    <w:rsid w:val="0069699F"/>
    <w:rsid w:val="00696C5E"/>
    <w:rsid w:val="006970BF"/>
    <w:rsid w:val="006A1625"/>
    <w:rsid w:val="006A1F0B"/>
    <w:rsid w:val="006A2C8A"/>
    <w:rsid w:val="006A3333"/>
    <w:rsid w:val="006A3490"/>
    <w:rsid w:val="006A3AE4"/>
    <w:rsid w:val="006A3D5F"/>
    <w:rsid w:val="006A4109"/>
    <w:rsid w:val="006A4945"/>
    <w:rsid w:val="006A49C2"/>
    <w:rsid w:val="006A4E16"/>
    <w:rsid w:val="006A5452"/>
    <w:rsid w:val="006A5C13"/>
    <w:rsid w:val="006A5C60"/>
    <w:rsid w:val="006A5D71"/>
    <w:rsid w:val="006A601B"/>
    <w:rsid w:val="006A636E"/>
    <w:rsid w:val="006A6EB8"/>
    <w:rsid w:val="006A7D67"/>
    <w:rsid w:val="006A7E73"/>
    <w:rsid w:val="006B0994"/>
    <w:rsid w:val="006B0C57"/>
    <w:rsid w:val="006B0D2E"/>
    <w:rsid w:val="006B3C35"/>
    <w:rsid w:val="006B40F3"/>
    <w:rsid w:val="006B4774"/>
    <w:rsid w:val="006B493B"/>
    <w:rsid w:val="006B5CEC"/>
    <w:rsid w:val="006B6D3A"/>
    <w:rsid w:val="006B6DC2"/>
    <w:rsid w:val="006B73A7"/>
    <w:rsid w:val="006B7580"/>
    <w:rsid w:val="006B7B98"/>
    <w:rsid w:val="006B7FB8"/>
    <w:rsid w:val="006C047E"/>
    <w:rsid w:val="006C056A"/>
    <w:rsid w:val="006C0836"/>
    <w:rsid w:val="006C3DB6"/>
    <w:rsid w:val="006C4779"/>
    <w:rsid w:val="006C4A9E"/>
    <w:rsid w:val="006C5088"/>
    <w:rsid w:val="006C64E1"/>
    <w:rsid w:val="006C67AF"/>
    <w:rsid w:val="006C7365"/>
    <w:rsid w:val="006C75A6"/>
    <w:rsid w:val="006C79BD"/>
    <w:rsid w:val="006C7C70"/>
    <w:rsid w:val="006D0228"/>
    <w:rsid w:val="006D12C6"/>
    <w:rsid w:val="006D1553"/>
    <w:rsid w:val="006D1C6E"/>
    <w:rsid w:val="006D1D30"/>
    <w:rsid w:val="006D2A8E"/>
    <w:rsid w:val="006D2BC2"/>
    <w:rsid w:val="006D389E"/>
    <w:rsid w:val="006D5746"/>
    <w:rsid w:val="006D6647"/>
    <w:rsid w:val="006D6F16"/>
    <w:rsid w:val="006E00BF"/>
    <w:rsid w:val="006E05AD"/>
    <w:rsid w:val="006E07B4"/>
    <w:rsid w:val="006E225C"/>
    <w:rsid w:val="006E241D"/>
    <w:rsid w:val="006E3489"/>
    <w:rsid w:val="006E34B4"/>
    <w:rsid w:val="006E3BAF"/>
    <w:rsid w:val="006E4DC6"/>
    <w:rsid w:val="006E54B9"/>
    <w:rsid w:val="006E6C04"/>
    <w:rsid w:val="006E755C"/>
    <w:rsid w:val="006E7608"/>
    <w:rsid w:val="006F0850"/>
    <w:rsid w:val="006F08F4"/>
    <w:rsid w:val="006F1573"/>
    <w:rsid w:val="006F195A"/>
    <w:rsid w:val="006F1BB1"/>
    <w:rsid w:val="006F1D81"/>
    <w:rsid w:val="006F3AB4"/>
    <w:rsid w:val="006F3B85"/>
    <w:rsid w:val="006F40E2"/>
    <w:rsid w:val="006F430D"/>
    <w:rsid w:val="006F444C"/>
    <w:rsid w:val="006F464A"/>
    <w:rsid w:val="006F46EE"/>
    <w:rsid w:val="006F5071"/>
    <w:rsid w:val="006F543C"/>
    <w:rsid w:val="006F5778"/>
    <w:rsid w:val="006F5F1E"/>
    <w:rsid w:val="006F5FAF"/>
    <w:rsid w:val="006F5FE3"/>
    <w:rsid w:val="006F63D0"/>
    <w:rsid w:val="006F63E8"/>
    <w:rsid w:val="006F77FF"/>
    <w:rsid w:val="006F7BAF"/>
    <w:rsid w:val="00700321"/>
    <w:rsid w:val="0070231B"/>
    <w:rsid w:val="0070231E"/>
    <w:rsid w:val="00702980"/>
    <w:rsid w:val="007037C7"/>
    <w:rsid w:val="00704480"/>
    <w:rsid w:val="0070609E"/>
    <w:rsid w:val="00707CB9"/>
    <w:rsid w:val="00707E16"/>
    <w:rsid w:val="00711163"/>
    <w:rsid w:val="00711241"/>
    <w:rsid w:val="00711772"/>
    <w:rsid w:val="00711CE0"/>
    <w:rsid w:val="0071220A"/>
    <w:rsid w:val="00713CC4"/>
    <w:rsid w:val="00713EA7"/>
    <w:rsid w:val="0071504D"/>
    <w:rsid w:val="00716030"/>
    <w:rsid w:val="007166AE"/>
    <w:rsid w:val="00717EAD"/>
    <w:rsid w:val="0072033C"/>
    <w:rsid w:val="00720E51"/>
    <w:rsid w:val="007219A7"/>
    <w:rsid w:val="007219D4"/>
    <w:rsid w:val="00722E86"/>
    <w:rsid w:val="0072340F"/>
    <w:rsid w:val="007238E7"/>
    <w:rsid w:val="00723D1A"/>
    <w:rsid w:val="007241BA"/>
    <w:rsid w:val="00724526"/>
    <w:rsid w:val="00724576"/>
    <w:rsid w:val="007251F8"/>
    <w:rsid w:val="00725C81"/>
    <w:rsid w:val="00726644"/>
    <w:rsid w:val="00726A5C"/>
    <w:rsid w:val="00727538"/>
    <w:rsid w:val="007303CA"/>
    <w:rsid w:val="0073150D"/>
    <w:rsid w:val="00731CBD"/>
    <w:rsid w:val="007335FF"/>
    <w:rsid w:val="00733F61"/>
    <w:rsid w:val="0073467F"/>
    <w:rsid w:val="00735561"/>
    <w:rsid w:val="00735647"/>
    <w:rsid w:val="00735B36"/>
    <w:rsid w:val="00737094"/>
    <w:rsid w:val="00737AF5"/>
    <w:rsid w:val="00737E80"/>
    <w:rsid w:val="00740E83"/>
    <w:rsid w:val="007415DB"/>
    <w:rsid w:val="00741CCE"/>
    <w:rsid w:val="00741D19"/>
    <w:rsid w:val="00743AC6"/>
    <w:rsid w:val="00744E01"/>
    <w:rsid w:val="00744F43"/>
    <w:rsid w:val="007453C9"/>
    <w:rsid w:val="00746167"/>
    <w:rsid w:val="007470C5"/>
    <w:rsid w:val="007470EE"/>
    <w:rsid w:val="00750166"/>
    <w:rsid w:val="00750503"/>
    <w:rsid w:val="007511F0"/>
    <w:rsid w:val="0075127A"/>
    <w:rsid w:val="00751CFE"/>
    <w:rsid w:val="007522CF"/>
    <w:rsid w:val="00754459"/>
    <w:rsid w:val="0075476E"/>
    <w:rsid w:val="007549A5"/>
    <w:rsid w:val="0075507E"/>
    <w:rsid w:val="0075561C"/>
    <w:rsid w:val="007560BB"/>
    <w:rsid w:val="00756684"/>
    <w:rsid w:val="00756D90"/>
    <w:rsid w:val="007603CD"/>
    <w:rsid w:val="0076082A"/>
    <w:rsid w:val="0076125A"/>
    <w:rsid w:val="007618F2"/>
    <w:rsid w:val="0076374B"/>
    <w:rsid w:val="00763A27"/>
    <w:rsid w:val="00763BC3"/>
    <w:rsid w:val="00764558"/>
    <w:rsid w:val="00764F28"/>
    <w:rsid w:val="00765913"/>
    <w:rsid w:val="0077030B"/>
    <w:rsid w:val="0077069C"/>
    <w:rsid w:val="00770F98"/>
    <w:rsid w:val="00771150"/>
    <w:rsid w:val="00771577"/>
    <w:rsid w:val="00771A48"/>
    <w:rsid w:val="00771D65"/>
    <w:rsid w:val="00772073"/>
    <w:rsid w:val="00772422"/>
    <w:rsid w:val="00774233"/>
    <w:rsid w:val="00775274"/>
    <w:rsid w:val="00776C01"/>
    <w:rsid w:val="00776D14"/>
    <w:rsid w:val="0077708D"/>
    <w:rsid w:val="007800F9"/>
    <w:rsid w:val="00780346"/>
    <w:rsid w:val="00783C23"/>
    <w:rsid w:val="00783FD1"/>
    <w:rsid w:val="00783FE4"/>
    <w:rsid w:val="0078467F"/>
    <w:rsid w:val="00784CBA"/>
    <w:rsid w:val="007855E8"/>
    <w:rsid w:val="00785AC2"/>
    <w:rsid w:val="00785D63"/>
    <w:rsid w:val="00786B7A"/>
    <w:rsid w:val="00786BDD"/>
    <w:rsid w:val="007873B2"/>
    <w:rsid w:val="0079007A"/>
    <w:rsid w:val="00790261"/>
    <w:rsid w:val="0079044E"/>
    <w:rsid w:val="00790788"/>
    <w:rsid w:val="007908F0"/>
    <w:rsid w:val="00790CDA"/>
    <w:rsid w:val="0079182F"/>
    <w:rsid w:val="0079184A"/>
    <w:rsid w:val="00791AA5"/>
    <w:rsid w:val="00791C88"/>
    <w:rsid w:val="007921F7"/>
    <w:rsid w:val="007928DC"/>
    <w:rsid w:val="00792BC8"/>
    <w:rsid w:val="00793B42"/>
    <w:rsid w:val="00793CB7"/>
    <w:rsid w:val="00794EF1"/>
    <w:rsid w:val="0079562A"/>
    <w:rsid w:val="00795F6B"/>
    <w:rsid w:val="00796411"/>
    <w:rsid w:val="00796641"/>
    <w:rsid w:val="00797B98"/>
    <w:rsid w:val="007A0746"/>
    <w:rsid w:val="007A0B1C"/>
    <w:rsid w:val="007A0CC6"/>
    <w:rsid w:val="007A2156"/>
    <w:rsid w:val="007A28AF"/>
    <w:rsid w:val="007A2D25"/>
    <w:rsid w:val="007A402B"/>
    <w:rsid w:val="007A49B1"/>
    <w:rsid w:val="007A5515"/>
    <w:rsid w:val="007A5B56"/>
    <w:rsid w:val="007A6C61"/>
    <w:rsid w:val="007A6F67"/>
    <w:rsid w:val="007A6FB1"/>
    <w:rsid w:val="007A7CF8"/>
    <w:rsid w:val="007B083D"/>
    <w:rsid w:val="007B1ACE"/>
    <w:rsid w:val="007B258B"/>
    <w:rsid w:val="007B3BC5"/>
    <w:rsid w:val="007B3DF9"/>
    <w:rsid w:val="007B43E4"/>
    <w:rsid w:val="007B49F1"/>
    <w:rsid w:val="007B4C00"/>
    <w:rsid w:val="007B4F8F"/>
    <w:rsid w:val="007B51C9"/>
    <w:rsid w:val="007B56AD"/>
    <w:rsid w:val="007B5941"/>
    <w:rsid w:val="007B5D4A"/>
    <w:rsid w:val="007B6235"/>
    <w:rsid w:val="007B6415"/>
    <w:rsid w:val="007B707D"/>
    <w:rsid w:val="007C03F2"/>
    <w:rsid w:val="007C12E7"/>
    <w:rsid w:val="007C1457"/>
    <w:rsid w:val="007C2BA7"/>
    <w:rsid w:val="007C2E97"/>
    <w:rsid w:val="007C3186"/>
    <w:rsid w:val="007C4718"/>
    <w:rsid w:val="007C51DB"/>
    <w:rsid w:val="007C53E1"/>
    <w:rsid w:val="007C5881"/>
    <w:rsid w:val="007C61A8"/>
    <w:rsid w:val="007C6436"/>
    <w:rsid w:val="007C6BED"/>
    <w:rsid w:val="007D0A31"/>
    <w:rsid w:val="007D1355"/>
    <w:rsid w:val="007D165C"/>
    <w:rsid w:val="007D1D6C"/>
    <w:rsid w:val="007D2276"/>
    <w:rsid w:val="007D2423"/>
    <w:rsid w:val="007D299F"/>
    <w:rsid w:val="007D3B42"/>
    <w:rsid w:val="007D478F"/>
    <w:rsid w:val="007D4800"/>
    <w:rsid w:val="007D5F7F"/>
    <w:rsid w:val="007D60C1"/>
    <w:rsid w:val="007D636F"/>
    <w:rsid w:val="007D660E"/>
    <w:rsid w:val="007D6692"/>
    <w:rsid w:val="007D669E"/>
    <w:rsid w:val="007D6848"/>
    <w:rsid w:val="007E0FA2"/>
    <w:rsid w:val="007E116F"/>
    <w:rsid w:val="007E179B"/>
    <w:rsid w:val="007E20C0"/>
    <w:rsid w:val="007E2D78"/>
    <w:rsid w:val="007E34BE"/>
    <w:rsid w:val="007E3E6D"/>
    <w:rsid w:val="007E3EF4"/>
    <w:rsid w:val="007E4BA1"/>
    <w:rsid w:val="007E4C9D"/>
    <w:rsid w:val="007E4CD4"/>
    <w:rsid w:val="007E5C1C"/>
    <w:rsid w:val="007E6484"/>
    <w:rsid w:val="007F1980"/>
    <w:rsid w:val="007F1CD0"/>
    <w:rsid w:val="007F2C80"/>
    <w:rsid w:val="007F2F42"/>
    <w:rsid w:val="007F36CF"/>
    <w:rsid w:val="007F3801"/>
    <w:rsid w:val="007F3EA5"/>
    <w:rsid w:val="007F3F6B"/>
    <w:rsid w:val="007F40A0"/>
    <w:rsid w:val="007F4B7E"/>
    <w:rsid w:val="007F500F"/>
    <w:rsid w:val="007F521C"/>
    <w:rsid w:val="007F5487"/>
    <w:rsid w:val="007F586B"/>
    <w:rsid w:val="007F5CF8"/>
    <w:rsid w:val="007F632F"/>
    <w:rsid w:val="007F7579"/>
    <w:rsid w:val="007F78E4"/>
    <w:rsid w:val="008009B3"/>
    <w:rsid w:val="00801BD8"/>
    <w:rsid w:val="00802026"/>
    <w:rsid w:val="00802044"/>
    <w:rsid w:val="008025E6"/>
    <w:rsid w:val="00802BB4"/>
    <w:rsid w:val="00802EFA"/>
    <w:rsid w:val="00803A9B"/>
    <w:rsid w:val="0080412D"/>
    <w:rsid w:val="00804422"/>
    <w:rsid w:val="00804C6A"/>
    <w:rsid w:val="00804F5F"/>
    <w:rsid w:val="0080559B"/>
    <w:rsid w:val="0080578F"/>
    <w:rsid w:val="00805A41"/>
    <w:rsid w:val="00805F66"/>
    <w:rsid w:val="00806F35"/>
    <w:rsid w:val="00810718"/>
    <w:rsid w:val="00811831"/>
    <w:rsid w:val="0081187F"/>
    <w:rsid w:val="00811BAC"/>
    <w:rsid w:val="00811DDD"/>
    <w:rsid w:val="008122B4"/>
    <w:rsid w:val="00812D42"/>
    <w:rsid w:val="00813047"/>
    <w:rsid w:val="008141E8"/>
    <w:rsid w:val="00814518"/>
    <w:rsid w:val="00814F95"/>
    <w:rsid w:val="00815CB4"/>
    <w:rsid w:val="00817B67"/>
    <w:rsid w:val="00817D2E"/>
    <w:rsid w:val="00817FAF"/>
    <w:rsid w:val="008204D2"/>
    <w:rsid w:val="00820618"/>
    <w:rsid w:val="0082083B"/>
    <w:rsid w:val="0082087D"/>
    <w:rsid w:val="008210AE"/>
    <w:rsid w:val="0082168C"/>
    <w:rsid w:val="008218EA"/>
    <w:rsid w:val="00821D81"/>
    <w:rsid w:val="00822E80"/>
    <w:rsid w:val="00823344"/>
    <w:rsid w:val="00823356"/>
    <w:rsid w:val="0082354F"/>
    <w:rsid w:val="00823C65"/>
    <w:rsid w:val="00823C79"/>
    <w:rsid w:val="0082430B"/>
    <w:rsid w:val="00825756"/>
    <w:rsid w:val="00826659"/>
    <w:rsid w:val="008269C9"/>
    <w:rsid w:val="00827AA6"/>
    <w:rsid w:val="008303C8"/>
    <w:rsid w:val="00830709"/>
    <w:rsid w:val="00830DA8"/>
    <w:rsid w:val="0083190C"/>
    <w:rsid w:val="00831B64"/>
    <w:rsid w:val="00831C20"/>
    <w:rsid w:val="00831FA9"/>
    <w:rsid w:val="008331A9"/>
    <w:rsid w:val="00833665"/>
    <w:rsid w:val="00834230"/>
    <w:rsid w:val="008355F5"/>
    <w:rsid w:val="00835C14"/>
    <w:rsid w:val="00835F84"/>
    <w:rsid w:val="00836B90"/>
    <w:rsid w:val="0083721B"/>
    <w:rsid w:val="008373D3"/>
    <w:rsid w:val="008374CE"/>
    <w:rsid w:val="0083786F"/>
    <w:rsid w:val="0083799D"/>
    <w:rsid w:val="00837C7C"/>
    <w:rsid w:val="008403A5"/>
    <w:rsid w:val="008409B1"/>
    <w:rsid w:val="008420A1"/>
    <w:rsid w:val="0084224B"/>
    <w:rsid w:val="0084284D"/>
    <w:rsid w:val="00843293"/>
    <w:rsid w:val="00843BC7"/>
    <w:rsid w:val="00844730"/>
    <w:rsid w:val="00844FEA"/>
    <w:rsid w:val="00845229"/>
    <w:rsid w:val="00845568"/>
    <w:rsid w:val="008455D2"/>
    <w:rsid w:val="0084584E"/>
    <w:rsid w:val="00845A1A"/>
    <w:rsid w:val="0084678E"/>
    <w:rsid w:val="00846B5E"/>
    <w:rsid w:val="00847798"/>
    <w:rsid w:val="00847FB1"/>
    <w:rsid w:val="008509B6"/>
    <w:rsid w:val="00850CA4"/>
    <w:rsid w:val="008511F4"/>
    <w:rsid w:val="00852CA8"/>
    <w:rsid w:val="00853756"/>
    <w:rsid w:val="00853D79"/>
    <w:rsid w:val="00854CB6"/>
    <w:rsid w:val="00855519"/>
    <w:rsid w:val="0085577F"/>
    <w:rsid w:val="00855BCC"/>
    <w:rsid w:val="0085757A"/>
    <w:rsid w:val="00857FF8"/>
    <w:rsid w:val="00860BCD"/>
    <w:rsid w:val="00861F3B"/>
    <w:rsid w:val="00862123"/>
    <w:rsid w:val="00862BCC"/>
    <w:rsid w:val="00863A56"/>
    <w:rsid w:val="00863ABF"/>
    <w:rsid w:val="00864B0D"/>
    <w:rsid w:val="00864B85"/>
    <w:rsid w:val="00865499"/>
    <w:rsid w:val="00865816"/>
    <w:rsid w:val="008661E3"/>
    <w:rsid w:val="00866439"/>
    <w:rsid w:val="00866513"/>
    <w:rsid w:val="00866822"/>
    <w:rsid w:val="00866A44"/>
    <w:rsid w:val="008670B0"/>
    <w:rsid w:val="00867A7C"/>
    <w:rsid w:val="008707B8"/>
    <w:rsid w:val="0087195C"/>
    <w:rsid w:val="0087354E"/>
    <w:rsid w:val="008735D5"/>
    <w:rsid w:val="00873726"/>
    <w:rsid w:val="00874586"/>
    <w:rsid w:val="00874706"/>
    <w:rsid w:val="00874D4B"/>
    <w:rsid w:val="008752AC"/>
    <w:rsid w:val="008756BE"/>
    <w:rsid w:val="00875F4F"/>
    <w:rsid w:val="00876E56"/>
    <w:rsid w:val="008804A7"/>
    <w:rsid w:val="008819EA"/>
    <w:rsid w:val="00883ECB"/>
    <w:rsid w:val="00884693"/>
    <w:rsid w:val="00885473"/>
    <w:rsid w:val="00885534"/>
    <w:rsid w:val="00885FA5"/>
    <w:rsid w:val="008869B2"/>
    <w:rsid w:val="00886D05"/>
    <w:rsid w:val="00887404"/>
    <w:rsid w:val="008879E0"/>
    <w:rsid w:val="00890C34"/>
    <w:rsid w:val="008911AE"/>
    <w:rsid w:val="008912FB"/>
    <w:rsid w:val="008937E0"/>
    <w:rsid w:val="00893B65"/>
    <w:rsid w:val="008944F4"/>
    <w:rsid w:val="0089491B"/>
    <w:rsid w:val="00895182"/>
    <w:rsid w:val="008957E0"/>
    <w:rsid w:val="00895A75"/>
    <w:rsid w:val="00897A88"/>
    <w:rsid w:val="00897E49"/>
    <w:rsid w:val="008A02DE"/>
    <w:rsid w:val="008A0407"/>
    <w:rsid w:val="008A09A0"/>
    <w:rsid w:val="008A1788"/>
    <w:rsid w:val="008A1D41"/>
    <w:rsid w:val="008A21FE"/>
    <w:rsid w:val="008A2E0C"/>
    <w:rsid w:val="008A2EF8"/>
    <w:rsid w:val="008A35F0"/>
    <w:rsid w:val="008A3D01"/>
    <w:rsid w:val="008A3D78"/>
    <w:rsid w:val="008A3F20"/>
    <w:rsid w:val="008A43D4"/>
    <w:rsid w:val="008A44A4"/>
    <w:rsid w:val="008A4895"/>
    <w:rsid w:val="008A4F5A"/>
    <w:rsid w:val="008A53A4"/>
    <w:rsid w:val="008A559C"/>
    <w:rsid w:val="008A59C5"/>
    <w:rsid w:val="008A6B2F"/>
    <w:rsid w:val="008A7B17"/>
    <w:rsid w:val="008B0093"/>
    <w:rsid w:val="008B0154"/>
    <w:rsid w:val="008B1011"/>
    <w:rsid w:val="008B194F"/>
    <w:rsid w:val="008B1F9A"/>
    <w:rsid w:val="008B2E1E"/>
    <w:rsid w:val="008B3016"/>
    <w:rsid w:val="008B36BA"/>
    <w:rsid w:val="008B63F8"/>
    <w:rsid w:val="008B7A3D"/>
    <w:rsid w:val="008C358D"/>
    <w:rsid w:val="008C45D7"/>
    <w:rsid w:val="008C478C"/>
    <w:rsid w:val="008C571B"/>
    <w:rsid w:val="008C5990"/>
    <w:rsid w:val="008C644B"/>
    <w:rsid w:val="008C6705"/>
    <w:rsid w:val="008D0015"/>
    <w:rsid w:val="008D0BC2"/>
    <w:rsid w:val="008D161A"/>
    <w:rsid w:val="008D2923"/>
    <w:rsid w:val="008D3149"/>
    <w:rsid w:val="008D35FB"/>
    <w:rsid w:val="008D3CA8"/>
    <w:rsid w:val="008D3DF5"/>
    <w:rsid w:val="008D4C09"/>
    <w:rsid w:val="008D5B54"/>
    <w:rsid w:val="008D634F"/>
    <w:rsid w:val="008D67EF"/>
    <w:rsid w:val="008D72EE"/>
    <w:rsid w:val="008D7362"/>
    <w:rsid w:val="008D7C30"/>
    <w:rsid w:val="008E036D"/>
    <w:rsid w:val="008E05C8"/>
    <w:rsid w:val="008E098C"/>
    <w:rsid w:val="008E0B86"/>
    <w:rsid w:val="008E1841"/>
    <w:rsid w:val="008E1A12"/>
    <w:rsid w:val="008E1B8C"/>
    <w:rsid w:val="008E1B9D"/>
    <w:rsid w:val="008E23F1"/>
    <w:rsid w:val="008E25B7"/>
    <w:rsid w:val="008E38CB"/>
    <w:rsid w:val="008E4163"/>
    <w:rsid w:val="008E4923"/>
    <w:rsid w:val="008E49B4"/>
    <w:rsid w:val="008E524C"/>
    <w:rsid w:val="008E6FCA"/>
    <w:rsid w:val="008F0961"/>
    <w:rsid w:val="008F09C6"/>
    <w:rsid w:val="008F37C2"/>
    <w:rsid w:val="008F383D"/>
    <w:rsid w:val="008F6FA8"/>
    <w:rsid w:val="0090007A"/>
    <w:rsid w:val="00900FEE"/>
    <w:rsid w:val="00901020"/>
    <w:rsid w:val="00902B48"/>
    <w:rsid w:val="00903CBF"/>
    <w:rsid w:val="009049D9"/>
    <w:rsid w:val="009054AD"/>
    <w:rsid w:val="00905797"/>
    <w:rsid w:val="00906CA1"/>
    <w:rsid w:val="00906D3C"/>
    <w:rsid w:val="009071A2"/>
    <w:rsid w:val="009078E5"/>
    <w:rsid w:val="00907950"/>
    <w:rsid w:val="00907A3F"/>
    <w:rsid w:val="00907F4A"/>
    <w:rsid w:val="00910657"/>
    <w:rsid w:val="00911782"/>
    <w:rsid w:val="00911BA4"/>
    <w:rsid w:val="009124B0"/>
    <w:rsid w:val="0091328E"/>
    <w:rsid w:val="0091355D"/>
    <w:rsid w:val="00913832"/>
    <w:rsid w:val="0091383A"/>
    <w:rsid w:val="00913C86"/>
    <w:rsid w:val="0091436C"/>
    <w:rsid w:val="00914D75"/>
    <w:rsid w:val="0091565C"/>
    <w:rsid w:val="00915AFF"/>
    <w:rsid w:val="00916638"/>
    <w:rsid w:val="00917A45"/>
    <w:rsid w:val="00917F97"/>
    <w:rsid w:val="0092006D"/>
    <w:rsid w:val="009206D1"/>
    <w:rsid w:val="00920713"/>
    <w:rsid w:val="00921681"/>
    <w:rsid w:val="009216C0"/>
    <w:rsid w:val="00921CDF"/>
    <w:rsid w:val="0092247A"/>
    <w:rsid w:val="00923090"/>
    <w:rsid w:val="00923CCF"/>
    <w:rsid w:val="0092521D"/>
    <w:rsid w:val="0092531F"/>
    <w:rsid w:val="00925EE5"/>
    <w:rsid w:val="00926B34"/>
    <w:rsid w:val="00926EAB"/>
    <w:rsid w:val="00926F59"/>
    <w:rsid w:val="00927777"/>
    <w:rsid w:val="009278C1"/>
    <w:rsid w:val="00927C4B"/>
    <w:rsid w:val="00930021"/>
    <w:rsid w:val="009302EF"/>
    <w:rsid w:val="009308E2"/>
    <w:rsid w:val="00931141"/>
    <w:rsid w:val="009317BE"/>
    <w:rsid w:val="00932477"/>
    <w:rsid w:val="00933127"/>
    <w:rsid w:val="00933E2E"/>
    <w:rsid w:val="009352BE"/>
    <w:rsid w:val="00935916"/>
    <w:rsid w:val="00935921"/>
    <w:rsid w:val="00936240"/>
    <w:rsid w:val="0093627D"/>
    <w:rsid w:val="00936BDF"/>
    <w:rsid w:val="00936F0B"/>
    <w:rsid w:val="00937DA6"/>
    <w:rsid w:val="009405C8"/>
    <w:rsid w:val="00941256"/>
    <w:rsid w:val="00942281"/>
    <w:rsid w:val="00942632"/>
    <w:rsid w:val="009434AE"/>
    <w:rsid w:val="0094359D"/>
    <w:rsid w:val="00944D7C"/>
    <w:rsid w:val="00946329"/>
    <w:rsid w:val="009469A5"/>
    <w:rsid w:val="00946E2B"/>
    <w:rsid w:val="00946F8B"/>
    <w:rsid w:val="00947DB8"/>
    <w:rsid w:val="00950CEF"/>
    <w:rsid w:val="00950D78"/>
    <w:rsid w:val="009515A4"/>
    <w:rsid w:val="009527A4"/>
    <w:rsid w:val="0095317E"/>
    <w:rsid w:val="00954117"/>
    <w:rsid w:val="00954B8C"/>
    <w:rsid w:val="00954E35"/>
    <w:rsid w:val="00955356"/>
    <w:rsid w:val="00955559"/>
    <w:rsid w:val="009555A5"/>
    <w:rsid w:val="00955969"/>
    <w:rsid w:val="00955A99"/>
    <w:rsid w:val="00955B93"/>
    <w:rsid w:val="00955F0B"/>
    <w:rsid w:val="0095645B"/>
    <w:rsid w:val="0095736D"/>
    <w:rsid w:val="009578AD"/>
    <w:rsid w:val="00957A07"/>
    <w:rsid w:val="009604AD"/>
    <w:rsid w:val="00961F30"/>
    <w:rsid w:val="00961F91"/>
    <w:rsid w:val="0096270B"/>
    <w:rsid w:val="00962D64"/>
    <w:rsid w:val="0096360E"/>
    <w:rsid w:val="00963B35"/>
    <w:rsid w:val="00963E62"/>
    <w:rsid w:val="009657E8"/>
    <w:rsid w:val="00965D1A"/>
    <w:rsid w:val="00965DB2"/>
    <w:rsid w:val="009669CC"/>
    <w:rsid w:val="00967A6C"/>
    <w:rsid w:val="00970D82"/>
    <w:rsid w:val="00971030"/>
    <w:rsid w:val="00971CF5"/>
    <w:rsid w:val="0097259F"/>
    <w:rsid w:val="00972BB4"/>
    <w:rsid w:val="009730C7"/>
    <w:rsid w:val="0097313E"/>
    <w:rsid w:val="009734CF"/>
    <w:rsid w:val="00973D89"/>
    <w:rsid w:val="0097462A"/>
    <w:rsid w:val="009748F1"/>
    <w:rsid w:val="0097533D"/>
    <w:rsid w:val="00975624"/>
    <w:rsid w:val="00975F83"/>
    <w:rsid w:val="009760E6"/>
    <w:rsid w:val="0097643B"/>
    <w:rsid w:val="009776A5"/>
    <w:rsid w:val="0097779D"/>
    <w:rsid w:val="00977BA8"/>
    <w:rsid w:val="00977F70"/>
    <w:rsid w:val="00981CA3"/>
    <w:rsid w:val="00981E6C"/>
    <w:rsid w:val="009822E3"/>
    <w:rsid w:val="00982507"/>
    <w:rsid w:val="00982519"/>
    <w:rsid w:val="009836CC"/>
    <w:rsid w:val="00983783"/>
    <w:rsid w:val="00984A4C"/>
    <w:rsid w:val="00985681"/>
    <w:rsid w:val="0098569D"/>
    <w:rsid w:val="009856B6"/>
    <w:rsid w:val="009856F1"/>
    <w:rsid w:val="00985A3A"/>
    <w:rsid w:val="00985D61"/>
    <w:rsid w:val="00986492"/>
    <w:rsid w:val="00986A54"/>
    <w:rsid w:val="00986D2F"/>
    <w:rsid w:val="00986FDF"/>
    <w:rsid w:val="00987089"/>
    <w:rsid w:val="00987095"/>
    <w:rsid w:val="009870BD"/>
    <w:rsid w:val="009875D0"/>
    <w:rsid w:val="0099012D"/>
    <w:rsid w:val="00990168"/>
    <w:rsid w:val="0099088F"/>
    <w:rsid w:val="0099109B"/>
    <w:rsid w:val="00991976"/>
    <w:rsid w:val="00992A31"/>
    <w:rsid w:val="00992E52"/>
    <w:rsid w:val="009937BE"/>
    <w:rsid w:val="00993C17"/>
    <w:rsid w:val="009943D0"/>
    <w:rsid w:val="00994CB0"/>
    <w:rsid w:val="009958CC"/>
    <w:rsid w:val="00995A8B"/>
    <w:rsid w:val="009971BB"/>
    <w:rsid w:val="00997900"/>
    <w:rsid w:val="009A003B"/>
    <w:rsid w:val="009A01D8"/>
    <w:rsid w:val="009A0C20"/>
    <w:rsid w:val="009A0CE4"/>
    <w:rsid w:val="009A263F"/>
    <w:rsid w:val="009A286A"/>
    <w:rsid w:val="009A2926"/>
    <w:rsid w:val="009A3057"/>
    <w:rsid w:val="009A3490"/>
    <w:rsid w:val="009A3555"/>
    <w:rsid w:val="009A3659"/>
    <w:rsid w:val="009A3FF1"/>
    <w:rsid w:val="009A4CDF"/>
    <w:rsid w:val="009A5561"/>
    <w:rsid w:val="009A5968"/>
    <w:rsid w:val="009A5AC7"/>
    <w:rsid w:val="009A721D"/>
    <w:rsid w:val="009A748D"/>
    <w:rsid w:val="009A7888"/>
    <w:rsid w:val="009A7DE9"/>
    <w:rsid w:val="009B000F"/>
    <w:rsid w:val="009B0566"/>
    <w:rsid w:val="009B0F68"/>
    <w:rsid w:val="009B25A9"/>
    <w:rsid w:val="009B2615"/>
    <w:rsid w:val="009B340E"/>
    <w:rsid w:val="009B3893"/>
    <w:rsid w:val="009B3920"/>
    <w:rsid w:val="009B42A3"/>
    <w:rsid w:val="009B4367"/>
    <w:rsid w:val="009B4E56"/>
    <w:rsid w:val="009B5070"/>
    <w:rsid w:val="009B52AD"/>
    <w:rsid w:val="009B5C31"/>
    <w:rsid w:val="009B62E5"/>
    <w:rsid w:val="009B65E1"/>
    <w:rsid w:val="009B664D"/>
    <w:rsid w:val="009B6A0D"/>
    <w:rsid w:val="009B783C"/>
    <w:rsid w:val="009C075D"/>
    <w:rsid w:val="009C0F4C"/>
    <w:rsid w:val="009C14F2"/>
    <w:rsid w:val="009C18A4"/>
    <w:rsid w:val="009C18F0"/>
    <w:rsid w:val="009C4376"/>
    <w:rsid w:val="009C4572"/>
    <w:rsid w:val="009C7209"/>
    <w:rsid w:val="009C7D87"/>
    <w:rsid w:val="009D0568"/>
    <w:rsid w:val="009D09DA"/>
    <w:rsid w:val="009D1988"/>
    <w:rsid w:val="009D1CBA"/>
    <w:rsid w:val="009D1F41"/>
    <w:rsid w:val="009D200B"/>
    <w:rsid w:val="009D225E"/>
    <w:rsid w:val="009D28BE"/>
    <w:rsid w:val="009D323F"/>
    <w:rsid w:val="009D3C0F"/>
    <w:rsid w:val="009D46A4"/>
    <w:rsid w:val="009D4FFA"/>
    <w:rsid w:val="009D504B"/>
    <w:rsid w:val="009D64E8"/>
    <w:rsid w:val="009D77F6"/>
    <w:rsid w:val="009D79B8"/>
    <w:rsid w:val="009D7BDE"/>
    <w:rsid w:val="009E00FC"/>
    <w:rsid w:val="009E01C8"/>
    <w:rsid w:val="009E0D82"/>
    <w:rsid w:val="009E0F41"/>
    <w:rsid w:val="009E250C"/>
    <w:rsid w:val="009E2F63"/>
    <w:rsid w:val="009E349E"/>
    <w:rsid w:val="009E353C"/>
    <w:rsid w:val="009E37C4"/>
    <w:rsid w:val="009E3F2D"/>
    <w:rsid w:val="009E4215"/>
    <w:rsid w:val="009E45A1"/>
    <w:rsid w:val="009E5596"/>
    <w:rsid w:val="009E5B0A"/>
    <w:rsid w:val="009E6216"/>
    <w:rsid w:val="009E6839"/>
    <w:rsid w:val="009E69B8"/>
    <w:rsid w:val="009E718E"/>
    <w:rsid w:val="009E73FC"/>
    <w:rsid w:val="009F027D"/>
    <w:rsid w:val="009F0755"/>
    <w:rsid w:val="009F0CC8"/>
    <w:rsid w:val="009F0FEB"/>
    <w:rsid w:val="009F1466"/>
    <w:rsid w:val="009F1753"/>
    <w:rsid w:val="009F1BDE"/>
    <w:rsid w:val="009F3C4A"/>
    <w:rsid w:val="009F3D4B"/>
    <w:rsid w:val="009F4C11"/>
    <w:rsid w:val="009F4DE7"/>
    <w:rsid w:val="009F5262"/>
    <w:rsid w:val="009F62C6"/>
    <w:rsid w:val="009F65C3"/>
    <w:rsid w:val="009F68B9"/>
    <w:rsid w:val="00A00091"/>
    <w:rsid w:val="00A005CC"/>
    <w:rsid w:val="00A005FA"/>
    <w:rsid w:val="00A01BFC"/>
    <w:rsid w:val="00A020C0"/>
    <w:rsid w:val="00A039D1"/>
    <w:rsid w:val="00A07935"/>
    <w:rsid w:val="00A10EB3"/>
    <w:rsid w:val="00A10F89"/>
    <w:rsid w:val="00A11ADB"/>
    <w:rsid w:val="00A12113"/>
    <w:rsid w:val="00A12322"/>
    <w:rsid w:val="00A135D6"/>
    <w:rsid w:val="00A1399F"/>
    <w:rsid w:val="00A1431D"/>
    <w:rsid w:val="00A14375"/>
    <w:rsid w:val="00A1487C"/>
    <w:rsid w:val="00A158FC"/>
    <w:rsid w:val="00A15A98"/>
    <w:rsid w:val="00A15AC6"/>
    <w:rsid w:val="00A16CB6"/>
    <w:rsid w:val="00A20941"/>
    <w:rsid w:val="00A20CCE"/>
    <w:rsid w:val="00A20E48"/>
    <w:rsid w:val="00A21B5E"/>
    <w:rsid w:val="00A228F9"/>
    <w:rsid w:val="00A23CAB"/>
    <w:rsid w:val="00A24532"/>
    <w:rsid w:val="00A25A71"/>
    <w:rsid w:val="00A26621"/>
    <w:rsid w:val="00A2702C"/>
    <w:rsid w:val="00A27CFC"/>
    <w:rsid w:val="00A30F11"/>
    <w:rsid w:val="00A310D9"/>
    <w:rsid w:val="00A3155E"/>
    <w:rsid w:val="00A320D1"/>
    <w:rsid w:val="00A32CBF"/>
    <w:rsid w:val="00A3302E"/>
    <w:rsid w:val="00A332E3"/>
    <w:rsid w:val="00A342D0"/>
    <w:rsid w:val="00A347ED"/>
    <w:rsid w:val="00A348CB"/>
    <w:rsid w:val="00A34C62"/>
    <w:rsid w:val="00A3576D"/>
    <w:rsid w:val="00A35A29"/>
    <w:rsid w:val="00A35EFA"/>
    <w:rsid w:val="00A36076"/>
    <w:rsid w:val="00A366A8"/>
    <w:rsid w:val="00A36BFB"/>
    <w:rsid w:val="00A37307"/>
    <w:rsid w:val="00A37799"/>
    <w:rsid w:val="00A37911"/>
    <w:rsid w:val="00A379D8"/>
    <w:rsid w:val="00A410B5"/>
    <w:rsid w:val="00A41A1B"/>
    <w:rsid w:val="00A41DB4"/>
    <w:rsid w:val="00A42CC8"/>
    <w:rsid w:val="00A44068"/>
    <w:rsid w:val="00A44B44"/>
    <w:rsid w:val="00A460D5"/>
    <w:rsid w:val="00A46146"/>
    <w:rsid w:val="00A464C6"/>
    <w:rsid w:val="00A465C6"/>
    <w:rsid w:val="00A4784D"/>
    <w:rsid w:val="00A47CC2"/>
    <w:rsid w:val="00A47F09"/>
    <w:rsid w:val="00A5026B"/>
    <w:rsid w:val="00A51F43"/>
    <w:rsid w:val="00A521D8"/>
    <w:rsid w:val="00A5251B"/>
    <w:rsid w:val="00A53348"/>
    <w:rsid w:val="00A53C14"/>
    <w:rsid w:val="00A54D4A"/>
    <w:rsid w:val="00A559C4"/>
    <w:rsid w:val="00A55AA8"/>
    <w:rsid w:val="00A56256"/>
    <w:rsid w:val="00A565A3"/>
    <w:rsid w:val="00A56BC9"/>
    <w:rsid w:val="00A57145"/>
    <w:rsid w:val="00A57152"/>
    <w:rsid w:val="00A57698"/>
    <w:rsid w:val="00A57938"/>
    <w:rsid w:val="00A579B3"/>
    <w:rsid w:val="00A57FB3"/>
    <w:rsid w:val="00A60121"/>
    <w:rsid w:val="00A60241"/>
    <w:rsid w:val="00A603E1"/>
    <w:rsid w:val="00A60ABF"/>
    <w:rsid w:val="00A61186"/>
    <w:rsid w:val="00A61427"/>
    <w:rsid w:val="00A6159F"/>
    <w:rsid w:val="00A619B3"/>
    <w:rsid w:val="00A620C1"/>
    <w:rsid w:val="00A63DAB"/>
    <w:rsid w:val="00A64554"/>
    <w:rsid w:val="00A6537A"/>
    <w:rsid w:val="00A65D65"/>
    <w:rsid w:val="00A65DEB"/>
    <w:rsid w:val="00A65EFB"/>
    <w:rsid w:val="00A66A63"/>
    <w:rsid w:val="00A66B2D"/>
    <w:rsid w:val="00A66D93"/>
    <w:rsid w:val="00A66F7D"/>
    <w:rsid w:val="00A67589"/>
    <w:rsid w:val="00A679C1"/>
    <w:rsid w:val="00A67EFA"/>
    <w:rsid w:val="00A708FD"/>
    <w:rsid w:val="00A716E0"/>
    <w:rsid w:val="00A718FD"/>
    <w:rsid w:val="00A7207F"/>
    <w:rsid w:val="00A7234E"/>
    <w:rsid w:val="00A72576"/>
    <w:rsid w:val="00A726EA"/>
    <w:rsid w:val="00A727A0"/>
    <w:rsid w:val="00A731CC"/>
    <w:rsid w:val="00A7346D"/>
    <w:rsid w:val="00A73EC5"/>
    <w:rsid w:val="00A741F7"/>
    <w:rsid w:val="00A75408"/>
    <w:rsid w:val="00A75859"/>
    <w:rsid w:val="00A7674E"/>
    <w:rsid w:val="00A76CF6"/>
    <w:rsid w:val="00A76FE3"/>
    <w:rsid w:val="00A810C3"/>
    <w:rsid w:val="00A81500"/>
    <w:rsid w:val="00A81B77"/>
    <w:rsid w:val="00A82F8D"/>
    <w:rsid w:val="00A83B4E"/>
    <w:rsid w:val="00A841D6"/>
    <w:rsid w:val="00A855E0"/>
    <w:rsid w:val="00A8572F"/>
    <w:rsid w:val="00A8583A"/>
    <w:rsid w:val="00A85CAC"/>
    <w:rsid w:val="00A864DB"/>
    <w:rsid w:val="00A875CD"/>
    <w:rsid w:val="00A87989"/>
    <w:rsid w:val="00A879BA"/>
    <w:rsid w:val="00A9048E"/>
    <w:rsid w:val="00A90791"/>
    <w:rsid w:val="00A90C9F"/>
    <w:rsid w:val="00A91E0E"/>
    <w:rsid w:val="00A91FB0"/>
    <w:rsid w:val="00A92689"/>
    <w:rsid w:val="00A92A33"/>
    <w:rsid w:val="00A92A67"/>
    <w:rsid w:val="00A92EF7"/>
    <w:rsid w:val="00A937DE"/>
    <w:rsid w:val="00A93CD2"/>
    <w:rsid w:val="00A94943"/>
    <w:rsid w:val="00A94C6B"/>
    <w:rsid w:val="00A9508E"/>
    <w:rsid w:val="00A954B3"/>
    <w:rsid w:val="00A95C3C"/>
    <w:rsid w:val="00A96285"/>
    <w:rsid w:val="00A96353"/>
    <w:rsid w:val="00A97A81"/>
    <w:rsid w:val="00A97DAB"/>
    <w:rsid w:val="00AA0043"/>
    <w:rsid w:val="00AA0390"/>
    <w:rsid w:val="00AA078D"/>
    <w:rsid w:val="00AA0811"/>
    <w:rsid w:val="00AA14A9"/>
    <w:rsid w:val="00AA15CC"/>
    <w:rsid w:val="00AA232B"/>
    <w:rsid w:val="00AA25C3"/>
    <w:rsid w:val="00AA347F"/>
    <w:rsid w:val="00AA351F"/>
    <w:rsid w:val="00AA42EB"/>
    <w:rsid w:val="00AA45E5"/>
    <w:rsid w:val="00AA4822"/>
    <w:rsid w:val="00AA50DB"/>
    <w:rsid w:val="00AA55AA"/>
    <w:rsid w:val="00AA5AA4"/>
    <w:rsid w:val="00AA6316"/>
    <w:rsid w:val="00AA72E1"/>
    <w:rsid w:val="00AA7AE1"/>
    <w:rsid w:val="00AA7B13"/>
    <w:rsid w:val="00AB023E"/>
    <w:rsid w:val="00AB056C"/>
    <w:rsid w:val="00AB12C2"/>
    <w:rsid w:val="00AB1A0A"/>
    <w:rsid w:val="00AB20D2"/>
    <w:rsid w:val="00AB21A4"/>
    <w:rsid w:val="00AB3591"/>
    <w:rsid w:val="00AB3639"/>
    <w:rsid w:val="00AB3D67"/>
    <w:rsid w:val="00AB42BA"/>
    <w:rsid w:val="00AB47C1"/>
    <w:rsid w:val="00AB4CCF"/>
    <w:rsid w:val="00AB5218"/>
    <w:rsid w:val="00AB59C2"/>
    <w:rsid w:val="00AB5BB9"/>
    <w:rsid w:val="00AB5C0B"/>
    <w:rsid w:val="00AB7774"/>
    <w:rsid w:val="00AB7D8B"/>
    <w:rsid w:val="00AC0C95"/>
    <w:rsid w:val="00AC2B8D"/>
    <w:rsid w:val="00AC2D69"/>
    <w:rsid w:val="00AC4240"/>
    <w:rsid w:val="00AC4483"/>
    <w:rsid w:val="00AC5219"/>
    <w:rsid w:val="00AC5229"/>
    <w:rsid w:val="00AC7A6D"/>
    <w:rsid w:val="00AC7DA1"/>
    <w:rsid w:val="00AD02F0"/>
    <w:rsid w:val="00AD0497"/>
    <w:rsid w:val="00AD1AAC"/>
    <w:rsid w:val="00AD1E96"/>
    <w:rsid w:val="00AD2095"/>
    <w:rsid w:val="00AD24A7"/>
    <w:rsid w:val="00AD26F4"/>
    <w:rsid w:val="00AD4CA8"/>
    <w:rsid w:val="00AD5348"/>
    <w:rsid w:val="00AD598D"/>
    <w:rsid w:val="00AD6560"/>
    <w:rsid w:val="00AD68FD"/>
    <w:rsid w:val="00AD6ADB"/>
    <w:rsid w:val="00AD7D4C"/>
    <w:rsid w:val="00AE0286"/>
    <w:rsid w:val="00AE1559"/>
    <w:rsid w:val="00AE193C"/>
    <w:rsid w:val="00AE199C"/>
    <w:rsid w:val="00AE1F26"/>
    <w:rsid w:val="00AE2318"/>
    <w:rsid w:val="00AE3728"/>
    <w:rsid w:val="00AE380A"/>
    <w:rsid w:val="00AE3B88"/>
    <w:rsid w:val="00AE3D88"/>
    <w:rsid w:val="00AE451D"/>
    <w:rsid w:val="00AE48FB"/>
    <w:rsid w:val="00AE57C9"/>
    <w:rsid w:val="00AE64EE"/>
    <w:rsid w:val="00AE6A26"/>
    <w:rsid w:val="00AE7723"/>
    <w:rsid w:val="00AF01AF"/>
    <w:rsid w:val="00AF04CC"/>
    <w:rsid w:val="00AF05DC"/>
    <w:rsid w:val="00AF10A9"/>
    <w:rsid w:val="00AF1BB3"/>
    <w:rsid w:val="00AF1EE4"/>
    <w:rsid w:val="00AF21A2"/>
    <w:rsid w:val="00AF24C3"/>
    <w:rsid w:val="00AF2707"/>
    <w:rsid w:val="00AF27BD"/>
    <w:rsid w:val="00AF3125"/>
    <w:rsid w:val="00AF322D"/>
    <w:rsid w:val="00AF3BFA"/>
    <w:rsid w:val="00AF3C71"/>
    <w:rsid w:val="00AF4197"/>
    <w:rsid w:val="00AF42E3"/>
    <w:rsid w:val="00AF539E"/>
    <w:rsid w:val="00AF56BE"/>
    <w:rsid w:val="00AF59A6"/>
    <w:rsid w:val="00AF69E2"/>
    <w:rsid w:val="00AF6B31"/>
    <w:rsid w:val="00AF736C"/>
    <w:rsid w:val="00AF76DF"/>
    <w:rsid w:val="00AF76E5"/>
    <w:rsid w:val="00AF7F5D"/>
    <w:rsid w:val="00B001AF"/>
    <w:rsid w:val="00B008F1"/>
    <w:rsid w:val="00B00DC2"/>
    <w:rsid w:val="00B01599"/>
    <w:rsid w:val="00B0229B"/>
    <w:rsid w:val="00B024A2"/>
    <w:rsid w:val="00B04388"/>
    <w:rsid w:val="00B043CA"/>
    <w:rsid w:val="00B05FB8"/>
    <w:rsid w:val="00B067AD"/>
    <w:rsid w:val="00B07025"/>
    <w:rsid w:val="00B101BA"/>
    <w:rsid w:val="00B1038E"/>
    <w:rsid w:val="00B10C14"/>
    <w:rsid w:val="00B11274"/>
    <w:rsid w:val="00B1149F"/>
    <w:rsid w:val="00B11AFE"/>
    <w:rsid w:val="00B11B94"/>
    <w:rsid w:val="00B11CC8"/>
    <w:rsid w:val="00B12D07"/>
    <w:rsid w:val="00B130C6"/>
    <w:rsid w:val="00B13405"/>
    <w:rsid w:val="00B13B50"/>
    <w:rsid w:val="00B13F30"/>
    <w:rsid w:val="00B14946"/>
    <w:rsid w:val="00B14D6E"/>
    <w:rsid w:val="00B14FE8"/>
    <w:rsid w:val="00B15521"/>
    <w:rsid w:val="00B1558C"/>
    <w:rsid w:val="00B15EF1"/>
    <w:rsid w:val="00B160DD"/>
    <w:rsid w:val="00B1635B"/>
    <w:rsid w:val="00B163F3"/>
    <w:rsid w:val="00B16E64"/>
    <w:rsid w:val="00B202F6"/>
    <w:rsid w:val="00B2070A"/>
    <w:rsid w:val="00B210F5"/>
    <w:rsid w:val="00B21282"/>
    <w:rsid w:val="00B21A83"/>
    <w:rsid w:val="00B21DCC"/>
    <w:rsid w:val="00B220B2"/>
    <w:rsid w:val="00B22400"/>
    <w:rsid w:val="00B22699"/>
    <w:rsid w:val="00B22FC5"/>
    <w:rsid w:val="00B239B9"/>
    <w:rsid w:val="00B243A0"/>
    <w:rsid w:val="00B24760"/>
    <w:rsid w:val="00B24B1B"/>
    <w:rsid w:val="00B25CE4"/>
    <w:rsid w:val="00B26257"/>
    <w:rsid w:val="00B265F9"/>
    <w:rsid w:val="00B26924"/>
    <w:rsid w:val="00B26AD6"/>
    <w:rsid w:val="00B26C26"/>
    <w:rsid w:val="00B2708F"/>
    <w:rsid w:val="00B27583"/>
    <w:rsid w:val="00B27937"/>
    <w:rsid w:val="00B279B7"/>
    <w:rsid w:val="00B27D06"/>
    <w:rsid w:val="00B304E9"/>
    <w:rsid w:val="00B31361"/>
    <w:rsid w:val="00B31545"/>
    <w:rsid w:val="00B31B0A"/>
    <w:rsid w:val="00B3202B"/>
    <w:rsid w:val="00B327DE"/>
    <w:rsid w:val="00B32BB0"/>
    <w:rsid w:val="00B33247"/>
    <w:rsid w:val="00B33FCC"/>
    <w:rsid w:val="00B34262"/>
    <w:rsid w:val="00B347E4"/>
    <w:rsid w:val="00B34BAF"/>
    <w:rsid w:val="00B3572C"/>
    <w:rsid w:val="00B35741"/>
    <w:rsid w:val="00B35BED"/>
    <w:rsid w:val="00B35D79"/>
    <w:rsid w:val="00B35FBD"/>
    <w:rsid w:val="00B36238"/>
    <w:rsid w:val="00B3655A"/>
    <w:rsid w:val="00B36732"/>
    <w:rsid w:val="00B3674D"/>
    <w:rsid w:val="00B369BE"/>
    <w:rsid w:val="00B3724B"/>
    <w:rsid w:val="00B401AB"/>
    <w:rsid w:val="00B40925"/>
    <w:rsid w:val="00B42367"/>
    <w:rsid w:val="00B42509"/>
    <w:rsid w:val="00B43120"/>
    <w:rsid w:val="00B43AE9"/>
    <w:rsid w:val="00B43C9A"/>
    <w:rsid w:val="00B43E24"/>
    <w:rsid w:val="00B44367"/>
    <w:rsid w:val="00B44CF5"/>
    <w:rsid w:val="00B464BB"/>
    <w:rsid w:val="00B46636"/>
    <w:rsid w:val="00B466E9"/>
    <w:rsid w:val="00B4743C"/>
    <w:rsid w:val="00B47A75"/>
    <w:rsid w:val="00B5050E"/>
    <w:rsid w:val="00B50ABF"/>
    <w:rsid w:val="00B50C1A"/>
    <w:rsid w:val="00B51095"/>
    <w:rsid w:val="00B512E0"/>
    <w:rsid w:val="00B51960"/>
    <w:rsid w:val="00B545A9"/>
    <w:rsid w:val="00B54690"/>
    <w:rsid w:val="00B548DC"/>
    <w:rsid w:val="00B55098"/>
    <w:rsid w:val="00B55BFA"/>
    <w:rsid w:val="00B56274"/>
    <w:rsid w:val="00B570EB"/>
    <w:rsid w:val="00B57430"/>
    <w:rsid w:val="00B577BC"/>
    <w:rsid w:val="00B603B5"/>
    <w:rsid w:val="00B60FF6"/>
    <w:rsid w:val="00B6183C"/>
    <w:rsid w:val="00B61A0B"/>
    <w:rsid w:val="00B62417"/>
    <w:rsid w:val="00B629DA"/>
    <w:rsid w:val="00B62A00"/>
    <w:rsid w:val="00B654C4"/>
    <w:rsid w:val="00B6581C"/>
    <w:rsid w:val="00B659E2"/>
    <w:rsid w:val="00B65F75"/>
    <w:rsid w:val="00B6636E"/>
    <w:rsid w:val="00B66AF5"/>
    <w:rsid w:val="00B7036A"/>
    <w:rsid w:val="00B70B85"/>
    <w:rsid w:val="00B70FA0"/>
    <w:rsid w:val="00B714B6"/>
    <w:rsid w:val="00B72CA7"/>
    <w:rsid w:val="00B737A8"/>
    <w:rsid w:val="00B73B1F"/>
    <w:rsid w:val="00B73DC4"/>
    <w:rsid w:val="00B73FAF"/>
    <w:rsid w:val="00B75294"/>
    <w:rsid w:val="00B76793"/>
    <w:rsid w:val="00B76ED8"/>
    <w:rsid w:val="00B804F1"/>
    <w:rsid w:val="00B81B38"/>
    <w:rsid w:val="00B81FBF"/>
    <w:rsid w:val="00B837C8"/>
    <w:rsid w:val="00B8407F"/>
    <w:rsid w:val="00B84401"/>
    <w:rsid w:val="00B847ED"/>
    <w:rsid w:val="00B85514"/>
    <w:rsid w:val="00B8592A"/>
    <w:rsid w:val="00B85CBC"/>
    <w:rsid w:val="00B862D8"/>
    <w:rsid w:val="00B873D5"/>
    <w:rsid w:val="00B87AED"/>
    <w:rsid w:val="00B9038C"/>
    <w:rsid w:val="00B913E2"/>
    <w:rsid w:val="00B915E1"/>
    <w:rsid w:val="00B92271"/>
    <w:rsid w:val="00B933AD"/>
    <w:rsid w:val="00B93C3A"/>
    <w:rsid w:val="00B941C4"/>
    <w:rsid w:val="00B94F97"/>
    <w:rsid w:val="00B95F7E"/>
    <w:rsid w:val="00B961E3"/>
    <w:rsid w:val="00B97265"/>
    <w:rsid w:val="00B97636"/>
    <w:rsid w:val="00B979A2"/>
    <w:rsid w:val="00B97E6B"/>
    <w:rsid w:val="00BA0DA9"/>
    <w:rsid w:val="00BA103E"/>
    <w:rsid w:val="00BA17FF"/>
    <w:rsid w:val="00BA1C9F"/>
    <w:rsid w:val="00BA21BB"/>
    <w:rsid w:val="00BA225D"/>
    <w:rsid w:val="00BA2794"/>
    <w:rsid w:val="00BA27B4"/>
    <w:rsid w:val="00BA2B58"/>
    <w:rsid w:val="00BA2E7A"/>
    <w:rsid w:val="00BA37D9"/>
    <w:rsid w:val="00BA384E"/>
    <w:rsid w:val="00BA3EB7"/>
    <w:rsid w:val="00BA45AE"/>
    <w:rsid w:val="00BA4625"/>
    <w:rsid w:val="00BA4FA7"/>
    <w:rsid w:val="00BA6003"/>
    <w:rsid w:val="00BA600D"/>
    <w:rsid w:val="00BA63E8"/>
    <w:rsid w:val="00BA66FE"/>
    <w:rsid w:val="00BA765F"/>
    <w:rsid w:val="00BB066E"/>
    <w:rsid w:val="00BB0E8C"/>
    <w:rsid w:val="00BB28E9"/>
    <w:rsid w:val="00BB2D13"/>
    <w:rsid w:val="00BB44D5"/>
    <w:rsid w:val="00BB453F"/>
    <w:rsid w:val="00BB5329"/>
    <w:rsid w:val="00BB54BA"/>
    <w:rsid w:val="00BB5C74"/>
    <w:rsid w:val="00BB5FF3"/>
    <w:rsid w:val="00BB648D"/>
    <w:rsid w:val="00BB687C"/>
    <w:rsid w:val="00BB693F"/>
    <w:rsid w:val="00BB7766"/>
    <w:rsid w:val="00BC01DE"/>
    <w:rsid w:val="00BC0E37"/>
    <w:rsid w:val="00BC112F"/>
    <w:rsid w:val="00BC158E"/>
    <w:rsid w:val="00BC1ED1"/>
    <w:rsid w:val="00BC1FF4"/>
    <w:rsid w:val="00BC216C"/>
    <w:rsid w:val="00BC2175"/>
    <w:rsid w:val="00BC21B4"/>
    <w:rsid w:val="00BC2407"/>
    <w:rsid w:val="00BC36DA"/>
    <w:rsid w:val="00BC370F"/>
    <w:rsid w:val="00BC44C4"/>
    <w:rsid w:val="00BC533E"/>
    <w:rsid w:val="00BC594D"/>
    <w:rsid w:val="00BC5A94"/>
    <w:rsid w:val="00BC5C80"/>
    <w:rsid w:val="00BC61AF"/>
    <w:rsid w:val="00BC63AE"/>
    <w:rsid w:val="00BC665F"/>
    <w:rsid w:val="00BC666B"/>
    <w:rsid w:val="00BC7285"/>
    <w:rsid w:val="00BD00EB"/>
    <w:rsid w:val="00BD1BFF"/>
    <w:rsid w:val="00BD1E36"/>
    <w:rsid w:val="00BD1FAF"/>
    <w:rsid w:val="00BD3016"/>
    <w:rsid w:val="00BD31C9"/>
    <w:rsid w:val="00BD3891"/>
    <w:rsid w:val="00BD4088"/>
    <w:rsid w:val="00BD4BF3"/>
    <w:rsid w:val="00BD5B23"/>
    <w:rsid w:val="00BD6744"/>
    <w:rsid w:val="00BD6DD3"/>
    <w:rsid w:val="00BD7984"/>
    <w:rsid w:val="00BE01A3"/>
    <w:rsid w:val="00BE0220"/>
    <w:rsid w:val="00BE1485"/>
    <w:rsid w:val="00BE1B77"/>
    <w:rsid w:val="00BE1C1A"/>
    <w:rsid w:val="00BE20DF"/>
    <w:rsid w:val="00BE2D73"/>
    <w:rsid w:val="00BE3029"/>
    <w:rsid w:val="00BE3107"/>
    <w:rsid w:val="00BE32BD"/>
    <w:rsid w:val="00BE39DE"/>
    <w:rsid w:val="00BE41A0"/>
    <w:rsid w:val="00BE5118"/>
    <w:rsid w:val="00BE5E2A"/>
    <w:rsid w:val="00BE67D6"/>
    <w:rsid w:val="00BE6FA8"/>
    <w:rsid w:val="00BE7772"/>
    <w:rsid w:val="00BF072A"/>
    <w:rsid w:val="00BF146A"/>
    <w:rsid w:val="00BF1837"/>
    <w:rsid w:val="00BF264B"/>
    <w:rsid w:val="00BF2B1A"/>
    <w:rsid w:val="00BF30A1"/>
    <w:rsid w:val="00BF31B8"/>
    <w:rsid w:val="00BF3842"/>
    <w:rsid w:val="00BF3DFC"/>
    <w:rsid w:val="00BF482E"/>
    <w:rsid w:val="00BF6046"/>
    <w:rsid w:val="00BF6647"/>
    <w:rsid w:val="00BF72C5"/>
    <w:rsid w:val="00BF73B3"/>
    <w:rsid w:val="00BF74F5"/>
    <w:rsid w:val="00BF7AEA"/>
    <w:rsid w:val="00BF7BF7"/>
    <w:rsid w:val="00BF7F98"/>
    <w:rsid w:val="00C00B3B"/>
    <w:rsid w:val="00C0106E"/>
    <w:rsid w:val="00C015F1"/>
    <w:rsid w:val="00C0192F"/>
    <w:rsid w:val="00C02A49"/>
    <w:rsid w:val="00C02B52"/>
    <w:rsid w:val="00C03056"/>
    <w:rsid w:val="00C035E2"/>
    <w:rsid w:val="00C03D41"/>
    <w:rsid w:val="00C04816"/>
    <w:rsid w:val="00C06D8A"/>
    <w:rsid w:val="00C10D4E"/>
    <w:rsid w:val="00C110C4"/>
    <w:rsid w:val="00C11D04"/>
    <w:rsid w:val="00C11E84"/>
    <w:rsid w:val="00C12062"/>
    <w:rsid w:val="00C127E9"/>
    <w:rsid w:val="00C1349C"/>
    <w:rsid w:val="00C136EB"/>
    <w:rsid w:val="00C1389D"/>
    <w:rsid w:val="00C13EBD"/>
    <w:rsid w:val="00C151A5"/>
    <w:rsid w:val="00C15231"/>
    <w:rsid w:val="00C15471"/>
    <w:rsid w:val="00C159D2"/>
    <w:rsid w:val="00C15C32"/>
    <w:rsid w:val="00C16FCC"/>
    <w:rsid w:val="00C1769B"/>
    <w:rsid w:val="00C1783A"/>
    <w:rsid w:val="00C20532"/>
    <w:rsid w:val="00C208D4"/>
    <w:rsid w:val="00C20A34"/>
    <w:rsid w:val="00C20D1C"/>
    <w:rsid w:val="00C210B4"/>
    <w:rsid w:val="00C2238D"/>
    <w:rsid w:val="00C22E3A"/>
    <w:rsid w:val="00C23A36"/>
    <w:rsid w:val="00C2514F"/>
    <w:rsid w:val="00C2589E"/>
    <w:rsid w:val="00C25CA7"/>
    <w:rsid w:val="00C25E79"/>
    <w:rsid w:val="00C25EBE"/>
    <w:rsid w:val="00C26C75"/>
    <w:rsid w:val="00C26E3E"/>
    <w:rsid w:val="00C2702E"/>
    <w:rsid w:val="00C272C7"/>
    <w:rsid w:val="00C2731C"/>
    <w:rsid w:val="00C30528"/>
    <w:rsid w:val="00C30A5C"/>
    <w:rsid w:val="00C30F08"/>
    <w:rsid w:val="00C31091"/>
    <w:rsid w:val="00C31B3A"/>
    <w:rsid w:val="00C31FB8"/>
    <w:rsid w:val="00C32078"/>
    <w:rsid w:val="00C3210C"/>
    <w:rsid w:val="00C3288A"/>
    <w:rsid w:val="00C33021"/>
    <w:rsid w:val="00C33786"/>
    <w:rsid w:val="00C338DD"/>
    <w:rsid w:val="00C362CB"/>
    <w:rsid w:val="00C3637B"/>
    <w:rsid w:val="00C368A3"/>
    <w:rsid w:val="00C37176"/>
    <w:rsid w:val="00C40803"/>
    <w:rsid w:val="00C40AFF"/>
    <w:rsid w:val="00C41743"/>
    <w:rsid w:val="00C41BB7"/>
    <w:rsid w:val="00C42513"/>
    <w:rsid w:val="00C43A94"/>
    <w:rsid w:val="00C43C3A"/>
    <w:rsid w:val="00C43C43"/>
    <w:rsid w:val="00C43CFD"/>
    <w:rsid w:val="00C442F2"/>
    <w:rsid w:val="00C44753"/>
    <w:rsid w:val="00C447FC"/>
    <w:rsid w:val="00C45647"/>
    <w:rsid w:val="00C45832"/>
    <w:rsid w:val="00C46A2B"/>
    <w:rsid w:val="00C46A3E"/>
    <w:rsid w:val="00C47102"/>
    <w:rsid w:val="00C50091"/>
    <w:rsid w:val="00C508E2"/>
    <w:rsid w:val="00C50D5B"/>
    <w:rsid w:val="00C5148A"/>
    <w:rsid w:val="00C51758"/>
    <w:rsid w:val="00C518AE"/>
    <w:rsid w:val="00C51980"/>
    <w:rsid w:val="00C51B2A"/>
    <w:rsid w:val="00C5253C"/>
    <w:rsid w:val="00C53711"/>
    <w:rsid w:val="00C53A28"/>
    <w:rsid w:val="00C53C24"/>
    <w:rsid w:val="00C5428C"/>
    <w:rsid w:val="00C5490D"/>
    <w:rsid w:val="00C553DC"/>
    <w:rsid w:val="00C55AB9"/>
    <w:rsid w:val="00C55B47"/>
    <w:rsid w:val="00C56549"/>
    <w:rsid w:val="00C568DB"/>
    <w:rsid w:val="00C56B61"/>
    <w:rsid w:val="00C56EA3"/>
    <w:rsid w:val="00C57DEB"/>
    <w:rsid w:val="00C606EF"/>
    <w:rsid w:val="00C60D92"/>
    <w:rsid w:val="00C615A9"/>
    <w:rsid w:val="00C622A7"/>
    <w:rsid w:val="00C62632"/>
    <w:rsid w:val="00C626CC"/>
    <w:rsid w:val="00C628F3"/>
    <w:rsid w:val="00C62C57"/>
    <w:rsid w:val="00C631BB"/>
    <w:rsid w:val="00C632BB"/>
    <w:rsid w:val="00C63B05"/>
    <w:rsid w:val="00C649BF"/>
    <w:rsid w:val="00C64EC2"/>
    <w:rsid w:val="00C66763"/>
    <w:rsid w:val="00C66CE2"/>
    <w:rsid w:val="00C66F45"/>
    <w:rsid w:val="00C6768E"/>
    <w:rsid w:val="00C6799D"/>
    <w:rsid w:val="00C71274"/>
    <w:rsid w:val="00C71579"/>
    <w:rsid w:val="00C71738"/>
    <w:rsid w:val="00C74810"/>
    <w:rsid w:val="00C75ADB"/>
    <w:rsid w:val="00C75F72"/>
    <w:rsid w:val="00C76DCA"/>
    <w:rsid w:val="00C770F4"/>
    <w:rsid w:val="00C775F2"/>
    <w:rsid w:val="00C77AF2"/>
    <w:rsid w:val="00C80125"/>
    <w:rsid w:val="00C8041A"/>
    <w:rsid w:val="00C8046B"/>
    <w:rsid w:val="00C8069C"/>
    <w:rsid w:val="00C80C8B"/>
    <w:rsid w:val="00C80CB9"/>
    <w:rsid w:val="00C81E1B"/>
    <w:rsid w:val="00C82705"/>
    <w:rsid w:val="00C83261"/>
    <w:rsid w:val="00C845F0"/>
    <w:rsid w:val="00C84E03"/>
    <w:rsid w:val="00C855EA"/>
    <w:rsid w:val="00C86096"/>
    <w:rsid w:val="00C86888"/>
    <w:rsid w:val="00C86CDA"/>
    <w:rsid w:val="00C86DFE"/>
    <w:rsid w:val="00C876D4"/>
    <w:rsid w:val="00C902F9"/>
    <w:rsid w:val="00C90E9B"/>
    <w:rsid w:val="00C910D3"/>
    <w:rsid w:val="00C91740"/>
    <w:rsid w:val="00C9211E"/>
    <w:rsid w:val="00C92A14"/>
    <w:rsid w:val="00C92BC3"/>
    <w:rsid w:val="00C92E77"/>
    <w:rsid w:val="00C936EB"/>
    <w:rsid w:val="00C93D5A"/>
    <w:rsid w:val="00C95C9A"/>
    <w:rsid w:val="00C964DB"/>
    <w:rsid w:val="00C96B20"/>
    <w:rsid w:val="00C9725B"/>
    <w:rsid w:val="00C97AD1"/>
    <w:rsid w:val="00C97F4E"/>
    <w:rsid w:val="00CA06BE"/>
    <w:rsid w:val="00CA09C4"/>
    <w:rsid w:val="00CA0CE8"/>
    <w:rsid w:val="00CA240F"/>
    <w:rsid w:val="00CA26C0"/>
    <w:rsid w:val="00CA417C"/>
    <w:rsid w:val="00CA585E"/>
    <w:rsid w:val="00CA5899"/>
    <w:rsid w:val="00CA5D86"/>
    <w:rsid w:val="00CA6B6E"/>
    <w:rsid w:val="00CA7489"/>
    <w:rsid w:val="00CA75CE"/>
    <w:rsid w:val="00CA7A63"/>
    <w:rsid w:val="00CB0217"/>
    <w:rsid w:val="00CB05F7"/>
    <w:rsid w:val="00CB0AD6"/>
    <w:rsid w:val="00CB0D83"/>
    <w:rsid w:val="00CB11E3"/>
    <w:rsid w:val="00CB1852"/>
    <w:rsid w:val="00CB261F"/>
    <w:rsid w:val="00CB2900"/>
    <w:rsid w:val="00CB3BF6"/>
    <w:rsid w:val="00CB42E2"/>
    <w:rsid w:val="00CB4BEA"/>
    <w:rsid w:val="00CB5475"/>
    <w:rsid w:val="00CB5D66"/>
    <w:rsid w:val="00CB618D"/>
    <w:rsid w:val="00CB7637"/>
    <w:rsid w:val="00CB769F"/>
    <w:rsid w:val="00CC0E7B"/>
    <w:rsid w:val="00CC1882"/>
    <w:rsid w:val="00CC1F37"/>
    <w:rsid w:val="00CC2A1E"/>
    <w:rsid w:val="00CC3395"/>
    <w:rsid w:val="00CC34C0"/>
    <w:rsid w:val="00CC34C9"/>
    <w:rsid w:val="00CC36CC"/>
    <w:rsid w:val="00CC36D1"/>
    <w:rsid w:val="00CC3C8A"/>
    <w:rsid w:val="00CC41D8"/>
    <w:rsid w:val="00CC42B8"/>
    <w:rsid w:val="00CC4EE4"/>
    <w:rsid w:val="00CC5CB7"/>
    <w:rsid w:val="00CC6128"/>
    <w:rsid w:val="00CC69DD"/>
    <w:rsid w:val="00CC7A59"/>
    <w:rsid w:val="00CD0A67"/>
    <w:rsid w:val="00CD0AE9"/>
    <w:rsid w:val="00CD0D4B"/>
    <w:rsid w:val="00CD0EDB"/>
    <w:rsid w:val="00CD14F2"/>
    <w:rsid w:val="00CD1703"/>
    <w:rsid w:val="00CD182C"/>
    <w:rsid w:val="00CD359A"/>
    <w:rsid w:val="00CD375D"/>
    <w:rsid w:val="00CD436D"/>
    <w:rsid w:val="00CD48B6"/>
    <w:rsid w:val="00CD4A4E"/>
    <w:rsid w:val="00CD4D2C"/>
    <w:rsid w:val="00CD587C"/>
    <w:rsid w:val="00CD6CAC"/>
    <w:rsid w:val="00CD72FA"/>
    <w:rsid w:val="00CE1739"/>
    <w:rsid w:val="00CE1D89"/>
    <w:rsid w:val="00CE2B4A"/>
    <w:rsid w:val="00CE2D38"/>
    <w:rsid w:val="00CE311F"/>
    <w:rsid w:val="00CE4019"/>
    <w:rsid w:val="00CE409E"/>
    <w:rsid w:val="00CE4D07"/>
    <w:rsid w:val="00CE54A7"/>
    <w:rsid w:val="00CE590F"/>
    <w:rsid w:val="00CE5F9D"/>
    <w:rsid w:val="00CE6C4D"/>
    <w:rsid w:val="00CE6D1E"/>
    <w:rsid w:val="00CE6DC8"/>
    <w:rsid w:val="00CE7035"/>
    <w:rsid w:val="00CF05C0"/>
    <w:rsid w:val="00CF0E7F"/>
    <w:rsid w:val="00CF1301"/>
    <w:rsid w:val="00CF1B9C"/>
    <w:rsid w:val="00CF2524"/>
    <w:rsid w:val="00CF34EC"/>
    <w:rsid w:val="00CF3E42"/>
    <w:rsid w:val="00CF54E9"/>
    <w:rsid w:val="00CF6087"/>
    <w:rsid w:val="00CF66D7"/>
    <w:rsid w:val="00CF7699"/>
    <w:rsid w:val="00D00190"/>
    <w:rsid w:val="00D00228"/>
    <w:rsid w:val="00D01836"/>
    <w:rsid w:val="00D01D0C"/>
    <w:rsid w:val="00D01FEA"/>
    <w:rsid w:val="00D0200E"/>
    <w:rsid w:val="00D02366"/>
    <w:rsid w:val="00D028DB"/>
    <w:rsid w:val="00D0359F"/>
    <w:rsid w:val="00D039E0"/>
    <w:rsid w:val="00D042F4"/>
    <w:rsid w:val="00D04CF5"/>
    <w:rsid w:val="00D04E6F"/>
    <w:rsid w:val="00D05DFD"/>
    <w:rsid w:val="00D066F4"/>
    <w:rsid w:val="00D0677C"/>
    <w:rsid w:val="00D073A3"/>
    <w:rsid w:val="00D108F6"/>
    <w:rsid w:val="00D109B0"/>
    <w:rsid w:val="00D10F7C"/>
    <w:rsid w:val="00D11164"/>
    <w:rsid w:val="00D11BC7"/>
    <w:rsid w:val="00D1223A"/>
    <w:rsid w:val="00D127D2"/>
    <w:rsid w:val="00D128B7"/>
    <w:rsid w:val="00D12B66"/>
    <w:rsid w:val="00D12D66"/>
    <w:rsid w:val="00D134A6"/>
    <w:rsid w:val="00D13AF1"/>
    <w:rsid w:val="00D13F00"/>
    <w:rsid w:val="00D15B93"/>
    <w:rsid w:val="00D1616D"/>
    <w:rsid w:val="00D16610"/>
    <w:rsid w:val="00D171D8"/>
    <w:rsid w:val="00D17FC9"/>
    <w:rsid w:val="00D2055C"/>
    <w:rsid w:val="00D208DB"/>
    <w:rsid w:val="00D20C14"/>
    <w:rsid w:val="00D21E1B"/>
    <w:rsid w:val="00D22E7C"/>
    <w:rsid w:val="00D238DB"/>
    <w:rsid w:val="00D240C7"/>
    <w:rsid w:val="00D24814"/>
    <w:rsid w:val="00D24D48"/>
    <w:rsid w:val="00D25601"/>
    <w:rsid w:val="00D25ADE"/>
    <w:rsid w:val="00D26656"/>
    <w:rsid w:val="00D2665A"/>
    <w:rsid w:val="00D266A9"/>
    <w:rsid w:val="00D26E76"/>
    <w:rsid w:val="00D3010E"/>
    <w:rsid w:val="00D306C6"/>
    <w:rsid w:val="00D332E7"/>
    <w:rsid w:val="00D33505"/>
    <w:rsid w:val="00D33916"/>
    <w:rsid w:val="00D3435D"/>
    <w:rsid w:val="00D34B2B"/>
    <w:rsid w:val="00D34C4B"/>
    <w:rsid w:val="00D34D38"/>
    <w:rsid w:val="00D34D50"/>
    <w:rsid w:val="00D3534D"/>
    <w:rsid w:val="00D35602"/>
    <w:rsid w:val="00D36485"/>
    <w:rsid w:val="00D365DA"/>
    <w:rsid w:val="00D368BB"/>
    <w:rsid w:val="00D3695E"/>
    <w:rsid w:val="00D378D6"/>
    <w:rsid w:val="00D40463"/>
    <w:rsid w:val="00D41884"/>
    <w:rsid w:val="00D420A2"/>
    <w:rsid w:val="00D42994"/>
    <w:rsid w:val="00D42DE4"/>
    <w:rsid w:val="00D43E61"/>
    <w:rsid w:val="00D43F27"/>
    <w:rsid w:val="00D43F7C"/>
    <w:rsid w:val="00D44537"/>
    <w:rsid w:val="00D452C6"/>
    <w:rsid w:val="00D45DFD"/>
    <w:rsid w:val="00D463D7"/>
    <w:rsid w:val="00D4645B"/>
    <w:rsid w:val="00D46F86"/>
    <w:rsid w:val="00D47016"/>
    <w:rsid w:val="00D471A3"/>
    <w:rsid w:val="00D471B1"/>
    <w:rsid w:val="00D47844"/>
    <w:rsid w:val="00D47CED"/>
    <w:rsid w:val="00D50BC4"/>
    <w:rsid w:val="00D50D2E"/>
    <w:rsid w:val="00D515A2"/>
    <w:rsid w:val="00D5180C"/>
    <w:rsid w:val="00D5203C"/>
    <w:rsid w:val="00D52DA9"/>
    <w:rsid w:val="00D52E98"/>
    <w:rsid w:val="00D5503F"/>
    <w:rsid w:val="00D5522C"/>
    <w:rsid w:val="00D55940"/>
    <w:rsid w:val="00D562A7"/>
    <w:rsid w:val="00D56756"/>
    <w:rsid w:val="00D57792"/>
    <w:rsid w:val="00D601FE"/>
    <w:rsid w:val="00D60997"/>
    <w:rsid w:val="00D60ADF"/>
    <w:rsid w:val="00D61BE8"/>
    <w:rsid w:val="00D61DED"/>
    <w:rsid w:val="00D620CE"/>
    <w:rsid w:val="00D62392"/>
    <w:rsid w:val="00D62AD3"/>
    <w:rsid w:val="00D62CEE"/>
    <w:rsid w:val="00D64602"/>
    <w:rsid w:val="00D6507E"/>
    <w:rsid w:val="00D65988"/>
    <w:rsid w:val="00D659E8"/>
    <w:rsid w:val="00D65CBD"/>
    <w:rsid w:val="00D65E96"/>
    <w:rsid w:val="00D65EAC"/>
    <w:rsid w:val="00D661E6"/>
    <w:rsid w:val="00D66243"/>
    <w:rsid w:val="00D6673C"/>
    <w:rsid w:val="00D66C0B"/>
    <w:rsid w:val="00D66C27"/>
    <w:rsid w:val="00D66EAA"/>
    <w:rsid w:val="00D673EE"/>
    <w:rsid w:val="00D6769C"/>
    <w:rsid w:val="00D67921"/>
    <w:rsid w:val="00D703D4"/>
    <w:rsid w:val="00D705B0"/>
    <w:rsid w:val="00D70C0D"/>
    <w:rsid w:val="00D70EA1"/>
    <w:rsid w:val="00D71FDF"/>
    <w:rsid w:val="00D72038"/>
    <w:rsid w:val="00D72541"/>
    <w:rsid w:val="00D73037"/>
    <w:rsid w:val="00D734BE"/>
    <w:rsid w:val="00D737B3"/>
    <w:rsid w:val="00D746D5"/>
    <w:rsid w:val="00D7508E"/>
    <w:rsid w:val="00D75EC1"/>
    <w:rsid w:val="00D8009E"/>
    <w:rsid w:val="00D80266"/>
    <w:rsid w:val="00D8030B"/>
    <w:rsid w:val="00D80BCE"/>
    <w:rsid w:val="00D81E39"/>
    <w:rsid w:val="00D845BA"/>
    <w:rsid w:val="00D848C7"/>
    <w:rsid w:val="00D84B3B"/>
    <w:rsid w:val="00D857A2"/>
    <w:rsid w:val="00D85C55"/>
    <w:rsid w:val="00D8657C"/>
    <w:rsid w:val="00D87098"/>
    <w:rsid w:val="00D900E5"/>
    <w:rsid w:val="00D90960"/>
    <w:rsid w:val="00D91110"/>
    <w:rsid w:val="00D9167D"/>
    <w:rsid w:val="00D917F0"/>
    <w:rsid w:val="00D918C2"/>
    <w:rsid w:val="00D92985"/>
    <w:rsid w:val="00D9319A"/>
    <w:rsid w:val="00D931DF"/>
    <w:rsid w:val="00D94032"/>
    <w:rsid w:val="00D94C23"/>
    <w:rsid w:val="00D95DF8"/>
    <w:rsid w:val="00D97319"/>
    <w:rsid w:val="00D97CF3"/>
    <w:rsid w:val="00DA009B"/>
    <w:rsid w:val="00DA02BB"/>
    <w:rsid w:val="00DA1402"/>
    <w:rsid w:val="00DA1EAF"/>
    <w:rsid w:val="00DA204C"/>
    <w:rsid w:val="00DA28D7"/>
    <w:rsid w:val="00DA3833"/>
    <w:rsid w:val="00DA39C4"/>
    <w:rsid w:val="00DA42BE"/>
    <w:rsid w:val="00DA4561"/>
    <w:rsid w:val="00DA56A2"/>
    <w:rsid w:val="00DA56E7"/>
    <w:rsid w:val="00DA5CDC"/>
    <w:rsid w:val="00DA680F"/>
    <w:rsid w:val="00DA72C5"/>
    <w:rsid w:val="00DA7F46"/>
    <w:rsid w:val="00DB1C7E"/>
    <w:rsid w:val="00DB1D31"/>
    <w:rsid w:val="00DB28F8"/>
    <w:rsid w:val="00DB3208"/>
    <w:rsid w:val="00DB36F0"/>
    <w:rsid w:val="00DB4102"/>
    <w:rsid w:val="00DB5A61"/>
    <w:rsid w:val="00DB67F4"/>
    <w:rsid w:val="00DB6884"/>
    <w:rsid w:val="00DB6BCC"/>
    <w:rsid w:val="00DB70D4"/>
    <w:rsid w:val="00DB7398"/>
    <w:rsid w:val="00DB78F4"/>
    <w:rsid w:val="00DB7EE0"/>
    <w:rsid w:val="00DC0750"/>
    <w:rsid w:val="00DC0964"/>
    <w:rsid w:val="00DC2003"/>
    <w:rsid w:val="00DC2C7D"/>
    <w:rsid w:val="00DC325D"/>
    <w:rsid w:val="00DC427E"/>
    <w:rsid w:val="00DC457B"/>
    <w:rsid w:val="00DC52F7"/>
    <w:rsid w:val="00DC55AA"/>
    <w:rsid w:val="00DC65C3"/>
    <w:rsid w:val="00DC6E6E"/>
    <w:rsid w:val="00DC73B0"/>
    <w:rsid w:val="00DC7544"/>
    <w:rsid w:val="00DC7604"/>
    <w:rsid w:val="00DC7B80"/>
    <w:rsid w:val="00DD0110"/>
    <w:rsid w:val="00DD0D92"/>
    <w:rsid w:val="00DD0F9B"/>
    <w:rsid w:val="00DD11D6"/>
    <w:rsid w:val="00DD15EB"/>
    <w:rsid w:val="00DD213E"/>
    <w:rsid w:val="00DD2F28"/>
    <w:rsid w:val="00DD3231"/>
    <w:rsid w:val="00DD38B3"/>
    <w:rsid w:val="00DD3DE0"/>
    <w:rsid w:val="00DD3E4A"/>
    <w:rsid w:val="00DD4259"/>
    <w:rsid w:val="00DD46D9"/>
    <w:rsid w:val="00DD477A"/>
    <w:rsid w:val="00DD4ABC"/>
    <w:rsid w:val="00DD62E7"/>
    <w:rsid w:val="00DD690B"/>
    <w:rsid w:val="00DD6C75"/>
    <w:rsid w:val="00DD6E94"/>
    <w:rsid w:val="00DD70D0"/>
    <w:rsid w:val="00DD7822"/>
    <w:rsid w:val="00DE04C2"/>
    <w:rsid w:val="00DE0F35"/>
    <w:rsid w:val="00DE1BBD"/>
    <w:rsid w:val="00DE1E6E"/>
    <w:rsid w:val="00DE24FD"/>
    <w:rsid w:val="00DE2C63"/>
    <w:rsid w:val="00DE33C5"/>
    <w:rsid w:val="00DE4758"/>
    <w:rsid w:val="00DE4976"/>
    <w:rsid w:val="00DE5B52"/>
    <w:rsid w:val="00DE5F09"/>
    <w:rsid w:val="00DE64E1"/>
    <w:rsid w:val="00DE7004"/>
    <w:rsid w:val="00DE712C"/>
    <w:rsid w:val="00DE75C2"/>
    <w:rsid w:val="00DF03E1"/>
    <w:rsid w:val="00DF16A3"/>
    <w:rsid w:val="00DF17DC"/>
    <w:rsid w:val="00DF1B63"/>
    <w:rsid w:val="00DF1C56"/>
    <w:rsid w:val="00DF2004"/>
    <w:rsid w:val="00DF20C8"/>
    <w:rsid w:val="00DF255E"/>
    <w:rsid w:val="00DF26BB"/>
    <w:rsid w:val="00DF2DCF"/>
    <w:rsid w:val="00DF31BF"/>
    <w:rsid w:val="00DF31FF"/>
    <w:rsid w:val="00DF4E55"/>
    <w:rsid w:val="00DF6F25"/>
    <w:rsid w:val="00DF728E"/>
    <w:rsid w:val="00DF7BF6"/>
    <w:rsid w:val="00E01B3B"/>
    <w:rsid w:val="00E021B8"/>
    <w:rsid w:val="00E02CFD"/>
    <w:rsid w:val="00E037FF"/>
    <w:rsid w:val="00E046C2"/>
    <w:rsid w:val="00E04D1D"/>
    <w:rsid w:val="00E058F0"/>
    <w:rsid w:val="00E0606D"/>
    <w:rsid w:val="00E068B4"/>
    <w:rsid w:val="00E06C17"/>
    <w:rsid w:val="00E06FFB"/>
    <w:rsid w:val="00E100D9"/>
    <w:rsid w:val="00E101A7"/>
    <w:rsid w:val="00E109E5"/>
    <w:rsid w:val="00E11278"/>
    <w:rsid w:val="00E1281B"/>
    <w:rsid w:val="00E13193"/>
    <w:rsid w:val="00E13E39"/>
    <w:rsid w:val="00E13E8F"/>
    <w:rsid w:val="00E149B2"/>
    <w:rsid w:val="00E1649A"/>
    <w:rsid w:val="00E165DE"/>
    <w:rsid w:val="00E171E4"/>
    <w:rsid w:val="00E17E86"/>
    <w:rsid w:val="00E20ED0"/>
    <w:rsid w:val="00E21286"/>
    <w:rsid w:val="00E21712"/>
    <w:rsid w:val="00E22484"/>
    <w:rsid w:val="00E228F8"/>
    <w:rsid w:val="00E2297E"/>
    <w:rsid w:val="00E22ADD"/>
    <w:rsid w:val="00E25042"/>
    <w:rsid w:val="00E25DB3"/>
    <w:rsid w:val="00E25E84"/>
    <w:rsid w:val="00E2759E"/>
    <w:rsid w:val="00E27A1A"/>
    <w:rsid w:val="00E3072A"/>
    <w:rsid w:val="00E30C27"/>
    <w:rsid w:val="00E30C4F"/>
    <w:rsid w:val="00E3369E"/>
    <w:rsid w:val="00E3397F"/>
    <w:rsid w:val="00E363B3"/>
    <w:rsid w:val="00E36BDC"/>
    <w:rsid w:val="00E40668"/>
    <w:rsid w:val="00E40967"/>
    <w:rsid w:val="00E41B2A"/>
    <w:rsid w:val="00E4245E"/>
    <w:rsid w:val="00E42508"/>
    <w:rsid w:val="00E434F5"/>
    <w:rsid w:val="00E437E2"/>
    <w:rsid w:val="00E43AD5"/>
    <w:rsid w:val="00E43F43"/>
    <w:rsid w:val="00E44373"/>
    <w:rsid w:val="00E45F17"/>
    <w:rsid w:val="00E46688"/>
    <w:rsid w:val="00E46B13"/>
    <w:rsid w:val="00E46EFC"/>
    <w:rsid w:val="00E47F06"/>
    <w:rsid w:val="00E514E9"/>
    <w:rsid w:val="00E519A6"/>
    <w:rsid w:val="00E520DC"/>
    <w:rsid w:val="00E526C0"/>
    <w:rsid w:val="00E52808"/>
    <w:rsid w:val="00E52FC4"/>
    <w:rsid w:val="00E53A48"/>
    <w:rsid w:val="00E53AA5"/>
    <w:rsid w:val="00E53BD8"/>
    <w:rsid w:val="00E570AA"/>
    <w:rsid w:val="00E570CC"/>
    <w:rsid w:val="00E57714"/>
    <w:rsid w:val="00E60354"/>
    <w:rsid w:val="00E60650"/>
    <w:rsid w:val="00E60B80"/>
    <w:rsid w:val="00E60CCA"/>
    <w:rsid w:val="00E616B0"/>
    <w:rsid w:val="00E61B16"/>
    <w:rsid w:val="00E627EE"/>
    <w:rsid w:val="00E62BC0"/>
    <w:rsid w:val="00E62D7A"/>
    <w:rsid w:val="00E638F2"/>
    <w:rsid w:val="00E64047"/>
    <w:rsid w:val="00E651B7"/>
    <w:rsid w:val="00E6573D"/>
    <w:rsid w:val="00E65DD5"/>
    <w:rsid w:val="00E67BA8"/>
    <w:rsid w:val="00E67D49"/>
    <w:rsid w:val="00E7030F"/>
    <w:rsid w:val="00E70479"/>
    <w:rsid w:val="00E70DEF"/>
    <w:rsid w:val="00E7145E"/>
    <w:rsid w:val="00E71F86"/>
    <w:rsid w:val="00E7240D"/>
    <w:rsid w:val="00E725D2"/>
    <w:rsid w:val="00E73E48"/>
    <w:rsid w:val="00E74A7B"/>
    <w:rsid w:val="00E74B4C"/>
    <w:rsid w:val="00E74B9B"/>
    <w:rsid w:val="00E754FD"/>
    <w:rsid w:val="00E759BC"/>
    <w:rsid w:val="00E75D27"/>
    <w:rsid w:val="00E7674E"/>
    <w:rsid w:val="00E76C86"/>
    <w:rsid w:val="00E7733D"/>
    <w:rsid w:val="00E80719"/>
    <w:rsid w:val="00E80F04"/>
    <w:rsid w:val="00E810C9"/>
    <w:rsid w:val="00E81795"/>
    <w:rsid w:val="00E818A7"/>
    <w:rsid w:val="00E821E5"/>
    <w:rsid w:val="00E83278"/>
    <w:rsid w:val="00E833DA"/>
    <w:rsid w:val="00E83B7B"/>
    <w:rsid w:val="00E8455A"/>
    <w:rsid w:val="00E845A8"/>
    <w:rsid w:val="00E84BA8"/>
    <w:rsid w:val="00E86B32"/>
    <w:rsid w:val="00E86B6D"/>
    <w:rsid w:val="00E86DAE"/>
    <w:rsid w:val="00E87D4C"/>
    <w:rsid w:val="00E906BC"/>
    <w:rsid w:val="00E910BA"/>
    <w:rsid w:val="00E9158E"/>
    <w:rsid w:val="00E91AAC"/>
    <w:rsid w:val="00E91CDE"/>
    <w:rsid w:val="00E92056"/>
    <w:rsid w:val="00E93643"/>
    <w:rsid w:val="00E93E48"/>
    <w:rsid w:val="00E942A4"/>
    <w:rsid w:val="00E94654"/>
    <w:rsid w:val="00E94E9D"/>
    <w:rsid w:val="00E95331"/>
    <w:rsid w:val="00E95356"/>
    <w:rsid w:val="00E95BDD"/>
    <w:rsid w:val="00E95C62"/>
    <w:rsid w:val="00E97088"/>
    <w:rsid w:val="00E97320"/>
    <w:rsid w:val="00E97D7D"/>
    <w:rsid w:val="00EA06E8"/>
    <w:rsid w:val="00EA214B"/>
    <w:rsid w:val="00EA2471"/>
    <w:rsid w:val="00EA3B59"/>
    <w:rsid w:val="00EA4345"/>
    <w:rsid w:val="00EA48F1"/>
    <w:rsid w:val="00EA4FE6"/>
    <w:rsid w:val="00EA5501"/>
    <w:rsid w:val="00EA6C7D"/>
    <w:rsid w:val="00EA7C70"/>
    <w:rsid w:val="00EA7F98"/>
    <w:rsid w:val="00EB193F"/>
    <w:rsid w:val="00EB1A0E"/>
    <w:rsid w:val="00EB1AF5"/>
    <w:rsid w:val="00EB2031"/>
    <w:rsid w:val="00EB28D5"/>
    <w:rsid w:val="00EB2C0D"/>
    <w:rsid w:val="00EB349B"/>
    <w:rsid w:val="00EB3811"/>
    <w:rsid w:val="00EB3A10"/>
    <w:rsid w:val="00EB5E0E"/>
    <w:rsid w:val="00EB7505"/>
    <w:rsid w:val="00EB7ADF"/>
    <w:rsid w:val="00EC071E"/>
    <w:rsid w:val="00EC0866"/>
    <w:rsid w:val="00EC1455"/>
    <w:rsid w:val="00EC146D"/>
    <w:rsid w:val="00EC1784"/>
    <w:rsid w:val="00EC2DBB"/>
    <w:rsid w:val="00EC370E"/>
    <w:rsid w:val="00EC474D"/>
    <w:rsid w:val="00EC6169"/>
    <w:rsid w:val="00EC65A1"/>
    <w:rsid w:val="00EC6CD1"/>
    <w:rsid w:val="00EC6FC2"/>
    <w:rsid w:val="00EC7159"/>
    <w:rsid w:val="00EC7194"/>
    <w:rsid w:val="00EC71FB"/>
    <w:rsid w:val="00EC7707"/>
    <w:rsid w:val="00ED02F8"/>
    <w:rsid w:val="00ED0A49"/>
    <w:rsid w:val="00ED0CF8"/>
    <w:rsid w:val="00ED1278"/>
    <w:rsid w:val="00ED168D"/>
    <w:rsid w:val="00ED16B3"/>
    <w:rsid w:val="00ED1967"/>
    <w:rsid w:val="00ED1A96"/>
    <w:rsid w:val="00ED250B"/>
    <w:rsid w:val="00ED2778"/>
    <w:rsid w:val="00ED35E7"/>
    <w:rsid w:val="00ED38C5"/>
    <w:rsid w:val="00ED4313"/>
    <w:rsid w:val="00ED4C33"/>
    <w:rsid w:val="00ED4F52"/>
    <w:rsid w:val="00ED5EE8"/>
    <w:rsid w:val="00ED6C5C"/>
    <w:rsid w:val="00ED76F0"/>
    <w:rsid w:val="00ED7AC4"/>
    <w:rsid w:val="00ED7BF9"/>
    <w:rsid w:val="00ED7F66"/>
    <w:rsid w:val="00EE025D"/>
    <w:rsid w:val="00EE142C"/>
    <w:rsid w:val="00EE1711"/>
    <w:rsid w:val="00EE2134"/>
    <w:rsid w:val="00EE215A"/>
    <w:rsid w:val="00EE3145"/>
    <w:rsid w:val="00EE33DD"/>
    <w:rsid w:val="00EE38A8"/>
    <w:rsid w:val="00EE4488"/>
    <w:rsid w:val="00EE4539"/>
    <w:rsid w:val="00EE481F"/>
    <w:rsid w:val="00EE5806"/>
    <w:rsid w:val="00EE5F65"/>
    <w:rsid w:val="00EE6691"/>
    <w:rsid w:val="00EE6E24"/>
    <w:rsid w:val="00EF0E0C"/>
    <w:rsid w:val="00EF0F19"/>
    <w:rsid w:val="00EF0FD3"/>
    <w:rsid w:val="00EF1088"/>
    <w:rsid w:val="00EF1250"/>
    <w:rsid w:val="00EF1437"/>
    <w:rsid w:val="00EF16B0"/>
    <w:rsid w:val="00EF2086"/>
    <w:rsid w:val="00EF22FA"/>
    <w:rsid w:val="00EF23D6"/>
    <w:rsid w:val="00EF2426"/>
    <w:rsid w:val="00EF4C79"/>
    <w:rsid w:val="00EF5251"/>
    <w:rsid w:val="00EF5A28"/>
    <w:rsid w:val="00EF5A64"/>
    <w:rsid w:val="00EF5C1B"/>
    <w:rsid w:val="00F002AF"/>
    <w:rsid w:val="00F0048D"/>
    <w:rsid w:val="00F006E2"/>
    <w:rsid w:val="00F021CB"/>
    <w:rsid w:val="00F02F6A"/>
    <w:rsid w:val="00F03E22"/>
    <w:rsid w:val="00F04141"/>
    <w:rsid w:val="00F049AA"/>
    <w:rsid w:val="00F04F51"/>
    <w:rsid w:val="00F04FE7"/>
    <w:rsid w:val="00F06279"/>
    <w:rsid w:val="00F06A3E"/>
    <w:rsid w:val="00F06C76"/>
    <w:rsid w:val="00F07735"/>
    <w:rsid w:val="00F07C18"/>
    <w:rsid w:val="00F10259"/>
    <w:rsid w:val="00F10B87"/>
    <w:rsid w:val="00F119CB"/>
    <w:rsid w:val="00F11D05"/>
    <w:rsid w:val="00F128B9"/>
    <w:rsid w:val="00F12AAD"/>
    <w:rsid w:val="00F12E3F"/>
    <w:rsid w:val="00F14A02"/>
    <w:rsid w:val="00F14D2C"/>
    <w:rsid w:val="00F1613E"/>
    <w:rsid w:val="00F162F0"/>
    <w:rsid w:val="00F168AD"/>
    <w:rsid w:val="00F168D0"/>
    <w:rsid w:val="00F1695D"/>
    <w:rsid w:val="00F16AED"/>
    <w:rsid w:val="00F16BFF"/>
    <w:rsid w:val="00F204D1"/>
    <w:rsid w:val="00F20752"/>
    <w:rsid w:val="00F212E3"/>
    <w:rsid w:val="00F213F1"/>
    <w:rsid w:val="00F214E0"/>
    <w:rsid w:val="00F223CC"/>
    <w:rsid w:val="00F22D43"/>
    <w:rsid w:val="00F23158"/>
    <w:rsid w:val="00F237F1"/>
    <w:rsid w:val="00F23F55"/>
    <w:rsid w:val="00F251D1"/>
    <w:rsid w:val="00F255A6"/>
    <w:rsid w:val="00F25C5A"/>
    <w:rsid w:val="00F2696F"/>
    <w:rsid w:val="00F274BB"/>
    <w:rsid w:val="00F27BD5"/>
    <w:rsid w:val="00F3009A"/>
    <w:rsid w:val="00F30128"/>
    <w:rsid w:val="00F304AB"/>
    <w:rsid w:val="00F308ED"/>
    <w:rsid w:val="00F31342"/>
    <w:rsid w:val="00F31397"/>
    <w:rsid w:val="00F318F7"/>
    <w:rsid w:val="00F33D54"/>
    <w:rsid w:val="00F34EE7"/>
    <w:rsid w:val="00F35020"/>
    <w:rsid w:val="00F354EA"/>
    <w:rsid w:val="00F36035"/>
    <w:rsid w:val="00F3631B"/>
    <w:rsid w:val="00F36A56"/>
    <w:rsid w:val="00F37CDA"/>
    <w:rsid w:val="00F37E8C"/>
    <w:rsid w:val="00F401E5"/>
    <w:rsid w:val="00F40870"/>
    <w:rsid w:val="00F413DD"/>
    <w:rsid w:val="00F4333C"/>
    <w:rsid w:val="00F43800"/>
    <w:rsid w:val="00F43AEB"/>
    <w:rsid w:val="00F43E2B"/>
    <w:rsid w:val="00F459E8"/>
    <w:rsid w:val="00F45D1A"/>
    <w:rsid w:val="00F4623A"/>
    <w:rsid w:val="00F463D0"/>
    <w:rsid w:val="00F46602"/>
    <w:rsid w:val="00F47C75"/>
    <w:rsid w:val="00F5030B"/>
    <w:rsid w:val="00F50D3C"/>
    <w:rsid w:val="00F51080"/>
    <w:rsid w:val="00F5167F"/>
    <w:rsid w:val="00F523B3"/>
    <w:rsid w:val="00F52E34"/>
    <w:rsid w:val="00F53496"/>
    <w:rsid w:val="00F53E5A"/>
    <w:rsid w:val="00F53FEE"/>
    <w:rsid w:val="00F5497F"/>
    <w:rsid w:val="00F549AE"/>
    <w:rsid w:val="00F54FE1"/>
    <w:rsid w:val="00F550AF"/>
    <w:rsid w:val="00F55589"/>
    <w:rsid w:val="00F55693"/>
    <w:rsid w:val="00F563DD"/>
    <w:rsid w:val="00F5663D"/>
    <w:rsid w:val="00F56884"/>
    <w:rsid w:val="00F56D0D"/>
    <w:rsid w:val="00F573E4"/>
    <w:rsid w:val="00F5778F"/>
    <w:rsid w:val="00F60BA7"/>
    <w:rsid w:val="00F61360"/>
    <w:rsid w:val="00F616F0"/>
    <w:rsid w:val="00F6288F"/>
    <w:rsid w:val="00F6336A"/>
    <w:rsid w:val="00F63E90"/>
    <w:rsid w:val="00F64160"/>
    <w:rsid w:val="00F644B9"/>
    <w:rsid w:val="00F64DD2"/>
    <w:rsid w:val="00F6548D"/>
    <w:rsid w:val="00F660B3"/>
    <w:rsid w:val="00F6704F"/>
    <w:rsid w:val="00F67143"/>
    <w:rsid w:val="00F676FF"/>
    <w:rsid w:val="00F6793E"/>
    <w:rsid w:val="00F67982"/>
    <w:rsid w:val="00F70357"/>
    <w:rsid w:val="00F704B7"/>
    <w:rsid w:val="00F705F9"/>
    <w:rsid w:val="00F717BC"/>
    <w:rsid w:val="00F71AF4"/>
    <w:rsid w:val="00F72636"/>
    <w:rsid w:val="00F72DAA"/>
    <w:rsid w:val="00F73D76"/>
    <w:rsid w:val="00F73E3F"/>
    <w:rsid w:val="00F73EDD"/>
    <w:rsid w:val="00F746CD"/>
    <w:rsid w:val="00F75520"/>
    <w:rsid w:val="00F75621"/>
    <w:rsid w:val="00F75BF0"/>
    <w:rsid w:val="00F7741A"/>
    <w:rsid w:val="00F80BBD"/>
    <w:rsid w:val="00F8196B"/>
    <w:rsid w:val="00F825FC"/>
    <w:rsid w:val="00F82798"/>
    <w:rsid w:val="00F82ADC"/>
    <w:rsid w:val="00F82C1A"/>
    <w:rsid w:val="00F82F4D"/>
    <w:rsid w:val="00F83505"/>
    <w:rsid w:val="00F8414A"/>
    <w:rsid w:val="00F846A1"/>
    <w:rsid w:val="00F8470D"/>
    <w:rsid w:val="00F857A6"/>
    <w:rsid w:val="00F86376"/>
    <w:rsid w:val="00F91EA3"/>
    <w:rsid w:val="00F927A2"/>
    <w:rsid w:val="00F931E0"/>
    <w:rsid w:val="00F93433"/>
    <w:rsid w:val="00F94094"/>
    <w:rsid w:val="00F942B1"/>
    <w:rsid w:val="00F94611"/>
    <w:rsid w:val="00F94FCB"/>
    <w:rsid w:val="00F95D71"/>
    <w:rsid w:val="00F96338"/>
    <w:rsid w:val="00F970D6"/>
    <w:rsid w:val="00F97D04"/>
    <w:rsid w:val="00FA003B"/>
    <w:rsid w:val="00FA02FD"/>
    <w:rsid w:val="00FA0525"/>
    <w:rsid w:val="00FA1912"/>
    <w:rsid w:val="00FA1957"/>
    <w:rsid w:val="00FA23E2"/>
    <w:rsid w:val="00FA2D3F"/>
    <w:rsid w:val="00FA2F3C"/>
    <w:rsid w:val="00FA41AB"/>
    <w:rsid w:val="00FA46F5"/>
    <w:rsid w:val="00FA49D4"/>
    <w:rsid w:val="00FA4EA1"/>
    <w:rsid w:val="00FA587E"/>
    <w:rsid w:val="00FA58A8"/>
    <w:rsid w:val="00FA5AB5"/>
    <w:rsid w:val="00FA5DE8"/>
    <w:rsid w:val="00FA6A49"/>
    <w:rsid w:val="00FA6B84"/>
    <w:rsid w:val="00FA6EB4"/>
    <w:rsid w:val="00FA6F36"/>
    <w:rsid w:val="00FA75FD"/>
    <w:rsid w:val="00FA7C6E"/>
    <w:rsid w:val="00FB0629"/>
    <w:rsid w:val="00FB198F"/>
    <w:rsid w:val="00FB1C0A"/>
    <w:rsid w:val="00FB33FF"/>
    <w:rsid w:val="00FB399A"/>
    <w:rsid w:val="00FB44B5"/>
    <w:rsid w:val="00FB4BFC"/>
    <w:rsid w:val="00FB4FF3"/>
    <w:rsid w:val="00FB54E7"/>
    <w:rsid w:val="00FB56D9"/>
    <w:rsid w:val="00FB6850"/>
    <w:rsid w:val="00FB7245"/>
    <w:rsid w:val="00FB7ACA"/>
    <w:rsid w:val="00FC0168"/>
    <w:rsid w:val="00FC03C8"/>
    <w:rsid w:val="00FC1EA3"/>
    <w:rsid w:val="00FC1F9A"/>
    <w:rsid w:val="00FC204B"/>
    <w:rsid w:val="00FC2E1E"/>
    <w:rsid w:val="00FC3549"/>
    <w:rsid w:val="00FC396A"/>
    <w:rsid w:val="00FC3D51"/>
    <w:rsid w:val="00FC41A8"/>
    <w:rsid w:val="00FC4D01"/>
    <w:rsid w:val="00FC52BB"/>
    <w:rsid w:val="00FC545D"/>
    <w:rsid w:val="00FC5795"/>
    <w:rsid w:val="00FC67A5"/>
    <w:rsid w:val="00FC6E87"/>
    <w:rsid w:val="00FC713A"/>
    <w:rsid w:val="00FC72E6"/>
    <w:rsid w:val="00FD1724"/>
    <w:rsid w:val="00FD1C4B"/>
    <w:rsid w:val="00FD22FA"/>
    <w:rsid w:val="00FD2662"/>
    <w:rsid w:val="00FD2F78"/>
    <w:rsid w:val="00FD3D8E"/>
    <w:rsid w:val="00FD4101"/>
    <w:rsid w:val="00FD45B6"/>
    <w:rsid w:val="00FD46F0"/>
    <w:rsid w:val="00FD4E67"/>
    <w:rsid w:val="00FD52C3"/>
    <w:rsid w:val="00FD5B38"/>
    <w:rsid w:val="00FD65B6"/>
    <w:rsid w:val="00FD710D"/>
    <w:rsid w:val="00FD7374"/>
    <w:rsid w:val="00FE0ABF"/>
    <w:rsid w:val="00FE0B44"/>
    <w:rsid w:val="00FE1D5F"/>
    <w:rsid w:val="00FE2F2C"/>
    <w:rsid w:val="00FE312E"/>
    <w:rsid w:val="00FE34EC"/>
    <w:rsid w:val="00FE3572"/>
    <w:rsid w:val="00FE3774"/>
    <w:rsid w:val="00FE4E83"/>
    <w:rsid w:val="00FE51CA"/>
    <w:rsid w:val="00FE607B"/>
    <w:rsid w:val="00FE6944"/>
    <w:rsid w:val="00FE7384"/>
    <w:rsid w:val="00FE7545"/>
    <w:rsid w:val="00FE75FC"/>
    <w:rsid w:val="00FE769E"/>
    <w:rsid w:val="00FE76EE"/>
    <w:rsid w:val="00FF0E8C"/>
    <w:rsid w:val="00FF1401"/>
    <w:rsid w:val="00FF1683"/>
    <w:rsid w:val="00FF1DE0"/>
    <w:rsid w:val="00FF21AA"/>
    <w:rsid w:val="00FF3305"/>
    <w:rsid w:val="00FF3A09"/>
    <w:rsid w:val="00FF3A9C"/>
    <w:rsid w:val="00FF40FA"/>
    <w:rsid w:val="00FF48A3"/>
    <w:rsid w:val="00FF573E"/>
    <w:rsid w:val="00FF5FAA"/>
    <w:rsid w:val="00FF71C5"/>
    <w:rsid w:val="00FF7511"/>
    <w:rsid w:val="00FF7D97"/>
    <w:rsid w:val="03C83E5B"/>
    <w:rsid w:val="05241976"/>
    <w:rsid w:val="0A596291"/>
    <w:rsid w:val="18028372"/>
    <w:rsid w:val="1E2E7762"/>
    <w:rsid w:val="2F105EB7"/>
    <w:rsid w:val="30B273E7"/>
    <w:rsid w:val="350A3065"/>
    <w:rsid w:val="36B417CA"/>
    <w:rsid w:val="370905A4"/>
    <w:rsid w:val="405E7F9B"/>
    <w:rsid w:val="458E2D89"/>
    <w:rsid w:val="46A83260"/>
    <w:rsid w:val="4CBF412D"/>
    <w:rsid w:val="4F226AB9"/>
    <w:rsid w:val="516B2380"/>
    <w:rsid w:val="541657D9"/>
    <w:rsid w:val="564458CB"/>
    <w:rsid w:val="60B85282"/>
    <w:rsid w:val="6E5740CB"/>
    <w:rsid w:val="77E110F7"/>
    <w:rsid w:val="7DA008BB"/>
    <w:rsid w:val="7DA8556F"/>
    <w:rsid w:val="7EFC5D8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exact"/>
      <w:jc w:val="both"/>
    </w:pPr>
    <w:rPr>
      <w:rFonts w:ascii="思源黑体 CN Regular" w:hAnsi="思源黑体 CN Regular" w:eastAsia="思源黑体 CN Regular" w:cstheme="minorBidi"/>
      <w:kern w:val="2"/>
      <w:szCs w:val="22"/>
      <w:lang w:val="en-US" w:eastAsia="zh-CN" w:bidi="ar-SA"/>
    </w:rPr>
  </w:style>
  <w:style w:type="paragraph" w:styleId="2">
    <w:name w:val="heading 1"/>
    <w:basedOn w:val="1"/>
    <w:next w:val="1"/>
    <w:link w:val="28"/>
    <w:autoRedefine/>
    <w:qFormat/>
    <w:uiPriority w:val="9"/>
    <w:pPr>
      <w:keepNext/>
      <w:keepLines/>
      <w:spacing w:before="340" w:after="330" w:line="578" w:lineRule="auto"/>
      <w:outlineLvl w:val="0"/>
    </w:pPr>
    <w:rPr>
      <w:rFonts w:eastAsia="微软雅黑"/>
      <w:b/>
      <w:bCs/>
      <w:color w:val="F0463C"/>
      <w:kern w:val="44"/>
      <w:sz w:val="44"/>
      <w:szCs w:val="44"/>
    </w:rPr>
  </w:style>
  <w:style w:type="paragraph" w:styleId="3">
    <w:name w:val="heading 2"/>
    <w:basedOn w:val="1"/>
    <w:next w:val="1"/>
    <w:link w:val="26"/>
    <w:autoRedefine/>
    <w:unhideWhenUsed/>
    <w:qFormat/>
    <w:uiPriority w:val="9"/>
    <w:pPr>
      <w:keepNext/>
      <w:keepLines/>
      <w:numPr>
        <w:ilvl w:val="1"/>
        <w:numId w:val="1"/>
      </w:numPr>
      <w:spacing w:before="260" w:after="260" w:line="416" w:lineRule="auto"/>
      <w:outlineLvl w:val="1"/>
    </w:pPr>
    <w:rPr>
      <w:rFonts w:asciiTheme="majorHAnsi" w:hAnsiTheme="majorHAnsi" w:eastAsiaTheme="majorEastAsia" w:cstheme="majorBidi"/>
      <w:b/>
      <w:bCs/>
      <w:color w:val="F0463C"/>
      <w:sz w:val="32"/>
      <w:szCs w:val="32"/>
    </w:rPr>
  </w:style>
  <w:style w:type="paragraph" w:styleId="4">
    <w:name w:val="heading 3"/>
    <w:basedOn w:val="1"/>
    <w:next w:val="1"/>
    <w:link w:val="57"/>
    <w:autoRedefine/>
    <w:semiHidden/>
    <w:unhideWhenUsed/>
    <w:qFormat/>
    <w:uiPriority w:val="9"/>
    <w:pPr>
      <w:keepNext/>
      <w:keepLines/>
      <w:spacing w:before="40"/>
      <w:outlineLvl w:val="2"/>
    </w:pPr>
    <w:rPr>
      <w:rFonts w:asciiTheme="majorHAnsi" w:hAnsiTheme="majorHAnsi" w:eastAsiaTheme="majorEastAsia" w:cstheme="majorBidi"/>
      <w:color w:val="1F4E79" w:themeColor="accent1" w:themeShade="80"/>
      <w:sz w:val="24"/>
      <w:szCs w:val="24"/>
    </w:rPr>
  </w:style>
  <w:style w:type="paragraph" w:styleId="5">
    <w:name w:val="heading 4"/>
    <w:basedOn w:val="1"/>
    <w:next w:val="1"/>
    <w:link w:val="65"/>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58"/>
    <w:autoRedefine/>
    <w:semiHidden/>
    <w:unhideWhenUsed/>
    <w:qFormat/>
    <w:uiPriority w:val="9"/>
    <w:pPr>
      <w:keepNext/>
      <w:keepLines/>
      <w:spacing w:before="40"/>
      <w:outlineLvl w:val="4"/>
    </w:pPr>
    <w:rPr>
      <w:rFonts w:asciiTheme="majorHAnsi" w:hAnsiTheme="majorHAnsi" w:eastAsiaTheme="majorEastAsia" w:cstheme="majorBidi"/>
      <w:color w:val="2E75B6" w:themeColor="accent1" w:themeShade="BF"/>
    </w:rPr>
  </w:style>
  <w:style w:type="character" w:default="1" w:styleId="19">
    <w:name w:val="Default Paragraph Font"/>
    <w:autoRedefine/>
    <w:semiHidden/>
    <w:unhideWhenUsed/>
    <w:qFormat/>
    <w:uiPriority w:val="1"/>
  </w:style>
  <w:style w:type="table" w:default="1" w:styleId="17">
    <w:name w:val="Normal Table"/>
    <w:autoRedefine/>
    <w:semiHidden/>
    <w:unhideWhenUsed/>
    <w:qFormat/>
    <w:uiPriority w:val="99"/>
    <w:tblPr>
      <w:tblCellMar>
        <w:top w:w="0" w:type="dxa"/>
        <w:left w:w="108" w:type="dxa"/>
        <w:bottom w:w="0" w:type="dxa"/>
        <w:right w:w="108" w:type="dxa"/>
      </w:tblCellMar>
    </w:tblPr>
  </w:style>
  <w:style w:type="paragraph" w:styleId="7">
    <w:name w:val="annotation text"/>
    <w:basedOn w:val="1"/>
    <w:link w:val="52"/>
    <w:semiHidden/>
    <w:unhideWhenUsed/>
    <w:qFormat/>
    <w:uiPriority w:val="99"/>
    <w:pPr>
      <w:jc w:val="left"/>
    </w:pPr>
  </w:style>
  <w:style w:type="paragraph" w:styleId="8">
    <w:name w:val="toc 3"/>
    <w:basedOn w:val="1"/>
    <w:next w:val="1"/>
    <w:autoRedefine/>
    <w:unhideWhenUsed/>
    <w:qFormat/>
    <w:uiPriority w:val="39"/>
    <w:pPr>
      <w:spacing w:after="100"/>
      <w:ind w:left="420"/>
    </w:pPr>
  </w:style>
  <w:style w:type="paragraph" w:styleId="9">
    <w:name w:val="Balloon Text"/>
    <w:basedOn w:val="1"/>
    <w:link w:val="50"/>
    <w:autoRedefine/>
    <w:semiHidden/>
    <w:unhideWhenUsed/>
    <w:qFormat/>
    <w:uiPriority w:val="99"/>
    <w:rPr>
      <w:sz w:val="18"/>
      <w:szCs w:val="18"/>
    </w:rPr>
  </w:style>
  <w:style w:type="paragraph" w:styleId="10">
    <w:name w:val="footer"/>
    <w:basedOn w:val="1"/>
    <w:link w:val="42"/>
    <w:autoRedefine/>
    <w:unhideWhenUsed/>
    <w:qFormat/>
    <w:uiPriority w:val="99"/>
    <w:pPr>
      <w:tabs>
        <w:tab w:val="center" w:pos="4153"/>
        <w:tab w:val="right" w:pos="8306"/>
      </w:tabs>
      <w:snapToGrid w:val="0"/>
      <w:jc w:val="left"/>
    </w:pPr>
    <w:rPr>
      <w:sz w:val="18"/>
      <w:szCs w:val="18"/>
    </w:rPr>
  </w:style>
  <w:style w:type="paragraph" w:styleId="11">
    <w:name w:val="header"/>
    <w:basedOn w:val="1"/>
    <w:link w:val="41"/>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autoRedefine/>
    <w:unhideWhenUsed/>
    <w:qFormat/>
    <w:uiPriority w:val="39"/>
    <w:pPr>
      <w:tabs>
        <w:tab w:val="left" w:pos="420"/>
        <w:tab w:val="right" w:leader="dot" w:pos="8296"/>
      </w:tabs>
      <w:spacing w:before="240" w:after="120"/>
      <w:jc w:val="left"/>
    </w:pPr>
    <w:rPr>
      <w:b/>
      <w:bCs/>
      <w:sz w:val="24"/>
      <w:szCs w:val="20"/>
    </w:rPr>
  </w:style>
  <w:style w:type="paragraph" w:styleId="13">
    <w:name w:val="footnote text"/>
    <w:basedOn w:val="1"/>
    <w:link w:val="75"/>
    <w:autoRedefine/>
    <w:semiHidden/>
    <w:unhideWhenUsed/>
    <w:qFormat/>
    <w:uiPriority w:val="99"/>
    <w:pPr>
      <w:spacing w:line="240" w:lineRule="auto"/>
    </w:pPr>
    <w:rPr>
      <w:szCs w:val="20"/>
    </w:rPr>
  </w:style>
  <w:style w:type="paragraph" w:styleId="14">
    <w:name w:val="toc 2"/>
    <w:basedOn w:val="1"/>
    <w:next w:val="1"/>
    <w:autoRedefine/>
    <w:unhideWhenUsed/>
    <w:qFormat/>
    <w:uiPriority w:val="39"/>
    <w:pPr>
      <w:tabs>
        <w:tab w:val="left" w:pos="880"/>
        <w:tab w:val="right" w:leader="dot" w:pos="8296"/>
      </w:tabs>
      <w:spacing w:before="120"/>
      <w:ind w:left="210"/>
      <w:jc w:val="left"/>
    </w:pPr>
    <w:rPr>
      <w:i/>
      <w:iCs/>
      <w:sz w:val="21"/>
      <w:szCs w:val="20"/>
    </w:rPr>
  </w:style>
  <w:style w:type="paragraph" w:styleId="15">
    <w:name w:val="Normal (Web)"/>
    <w:basedOn w:val="1"/>
    <w:autoRedefine/>
    <w:unhideWhenUsed/>
    <w:qFormat/>
    <w:uiPriority w:val="0"/>
    <w:pPr>
      <w:widowControl/>
      <w:spacing w:before="100" w:beforeAutospacing="1" w:after="100" w:afterAutospacing="1"/>
      <w:jc w:val="left"/>
    </w:pPr>
    <w:rPr>
      <w:rFonts w:ascii="宋体" w:hAnsi="宋体" w:eastAsia="宋体" w:cs="宋体"/>
      <w:kern w:val="0"/>
      <w:sz w:val="24"/>
      <w:szCs w:val="24"/>
    </w:rPr>
  </w:style>
  <w:style w:type="paragraph" w:styleId="16">
    <w:name w:val="annotation subject"/>
    <w:basedOn w:val="7"/>
    <w:next w:val="7"/>
    <w:link w:val="53"/>
    <w:autoRedefine/>
    <w:semiHidden/>
    <w:unhideWhenUsed/>
    <w:qFormat/>
    <w:uiPriority w:val="99"/>
    <w:rPr>
      <w:b/>
      <w:bCs/>
    </w:rPr>
  </w:style>
  <w:style w:type="table" w:styleId="18">
    <w:name w:val="Table Grid"/>
    <w:basedOn w:val="17"/>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Strong"/>
    <w:basedOn w:val="19"/>
    <w:autoRedefine/>
    <w:qFormat/>
    <w:uiPriority w:val="22"/>
    <w:rPr>
      <w:b/>
      <w:bCs/>
    </w:rPr>
  </w:style>
  <w:style w:type="character" w:styleId="21">
    <w:name w:val="FollowedHyperlink"/>
    <w:basedOn w:val="19"/>
    <w:autoRedefine/>
    <w:semiHidden/>
    <w:unhideWhenUsed/>
    <w:qFormat/>
    <w:uiPriority w:val="99"/>
    <w:rPr>
      <w:color w:val="954F72" w:themeColor="followedHyperlink"/>
      <w:u w:val="single"/>
      <w14:textFill>
        <w14:solidFill>
          <w14:schemeClr w14:val="folHlink"/>
        </w14:solidFill>
      </w14:textFill>
    </w:rPr>
  </w:style>
  <w:style w:type="character" w:styleId="22">
    <w:name w:val="Emphasis"/>
    <w:basedOn w:val="19"/>
    <w:autoRedefine/>
    <w:qFormat/>
    <w:uiPriority w:val="20"/>
    <w:rPr>
      <w:i/>
      <w:iCs/>
    </w:rPr>
  </w:style>
  <w:style w:type="character" w:styleId="23">
    <w:name w:val="Hyperlink"/>
    <w:basedOn w:val="19"/>
    <w:autoRedefine/>
    <w:unhideWhenUsed/>
    <w:qFormat/>
    <w:uiPriority w:val="99"/>
    <w:rPr>
      <w:color w:val="0563C1" w:themeColor="hyperlink"/>
      <w:u w:val="single"/>
      <w14:textFill>
        <w14:solidFill>
          <w14:schemeClr w14:val="hlink"/>
        </w14:solidFill>
      </w14:textFill>
    </w:rPr>
  </w:style>
  <w:style w:type="character" w:styleId="24">
    <w:name w:val="annotation reference"/>
    <w:basedOn w:val="19"/>
    <w:autoRedefine/>
    <w:semiHidden/>
    <w:unhideWhenUsed/>
    <w:qFormat/>
    <w:uiPriority w:val="99"/>
    <w:rPr>
      <w:sz w:val="21"/>
      <w:szCs w:val="21"/>
    </w:rPr>
  </w:style>
  <w:style w:type="character" w:styleId="25">
    <w:name w:val="footnote reference"/>
    <w:basedOn w:val="19"/>
    <w:autoRedefine/>
    <w:semiHidden/>
    <w:unhideWhenUsed/>
    <w:qFormat/>
    <w:uiPriority w:val="99"/>
    <w:rPr>
      <w:vertAlign w:val="superscript"/>
    </w:rPr>
  </w:style>
  <w:style w:type="character" w:customStyle="1" w:styleId="26">
    <w:name w:val="标题 2 字符"/>
    <w:basedOn w:val="19"/>
    <w:link w:val="3"/>
    <w:autoRedefine/>
    <w:qFormat/>
    <w:uiPriority w:val="9"/>
    <w:rPr>
      <w:rFonts w:asciiTheme="majorHAnsi" w:hAnsiTheme="majorHAnsi" w:eastAsiaTheme="majorEastAsia" w:cstheme="majorBidi"/>
      <w:b/>
      <w:bCs/>
      <w:color w:val="F0463C"/>
      <w:kern w:val="2"/>
      <w:sz w:val="32"/>
      <w:szCs w:val="32"/>
    </w:rPr>
  </w:style>
  <w:style w:type="paragraph" w:customStyle="1" w:styleId="27">
    <w:name w:val="列出段落11"/>
    <w:basedOn w:val="1"/>
    <w:autoRedefine/>
    <w:qFormat/>
    <w:uiPriority w:val="34"/>
    <w:rPr>
      <w:rFonts w:ascii="Times New Roman" w:hAnsi="Times New Roman" w:eastAsia="宋体" w:cs="Times New Roman"/>
      <w:szCs w:val="20"/>
    </w:rPr>
  </w:style>
  <w:style w:type="character" w:customStyle="1" w:styleId="28">
    <w:name w:val="标题 1 字符"/>
    <w:basedOn w:val="19"/>
    <w:link w:val="2"/>
    <w:autoRedefine/>
    <w:qFormat/>
    <w:uiPriority w:val="9"/>
    <w:rPr>
      <w:rFonts w:ascii="微软雅黑" w:hAnsi="微软雅黑" w:eastAsia="微软雅黑"/>
      <w:b/>
      <w:bCs/>
      <w:color w:val="F0463C"/>
      <w:kern w:val="44"/>
      <w:sz w:val="44"/>
      <w:szCs w:val="44"/>
    </w:rPr>
  </w:style>
  <w:style w:type="paragraph" w:styleId="29">
    <w:name w:val="List Paragraph"/>
    <w:basedOn w:val="1"/>
    <w:link w:val="34"/>
    <w:autoRedefine/>
    <w:qFormat/>
    <w:uiPriority w:val="99"/>
    <w:pPr>
      <w:ind w:firstLine="420" w:firstLineChars="200"/>
    </w:pPr>
  </w:style>
  <w:style w:type="paragraph" w:customStyle="1" w:styleId="30">
    <w:name w:val="普通正文"/>
    <w:basedOn w:val="1"/>
    <w:link w:val="32"/>
    <w:autoRedefine/>
    <w:qFormat/>
    <w:uiPriority w:val="0"/>
    <w:pPr>
      <w:spacing w:line="420" w:lineRule="exact"/>
      <w:ind w:firstLine="471"/>
    </w:pPr>
    <w:rPr>
      <w:rFonts w:cs="微软雅黑"/>
      <w:color w:val="000000" w:themeColor="text1"/>
      <w:sz w:val="24"/>
      <w:szCs w:val="21"/>
      <w14:textFill>
        <w14:solidFill>
          <w14:schemeClr w14:val="tx1"/>
        </w14:solidFill>
      </w14:textFill>
    </w:rPr>
  </w:style>
  <w:style w:type="paragraph" w:customStyle="1" w:styleId="31">
    <w:name w:val="符号正文"/>
    <w:basedOn w:val="29"/>
    <w:link w:val="35"/>
    <w:autoRedefine/>
    <w:qFormat/>
    <w:uiPriority w:val="0"/>
    <w:pPr>
      <w:numPr>
        <w:ilvl w:val="0"/>
        <w:numId w:val="2"/>
      </w:numPr>
      <w:spacing w:line="240" w:lineRule="auto"/>
      <w:ind w:firstLine="0" w:firstLineChars="0"/>
    </w:pPr>
    <w:rPr>
      <w:rFonts w:eastAsia="微软雅黑" w:cs="微软雅黑"/>
      <w:sz w:val="24"/>
      <w:szCs w:val="21"/>
    </w:rPr>
  </w:style>
  <w:style w:type="character" w:customStyle="1" w:styleId="32">
    <w:name w:val="普通正文 字符"/>
    <w:basedOn w:val="19"/>
    <w:link w:val="30"/>
    <w:autoRedefine/>
    <w:qFormat/>
    <w:uiPriority w:val="0"/>
    <w:rPr>
      <w:rFonts w:ascii="思源黑体 CN Regular" w:hAnsi="思源黑体 CN Regular" w:eastAsia="思源黑体 CN Regular" w:cs="微软雅黑"/>
      <w:color w:val="000000" w:themeColor="text1"/>
      <w:kern w:val="2"/>
      <w:sz w:val="24"/>
      <w:szCs w:val="21"/>
      <w14:textFill>
        <w14:solidFill>
          <w14:schemeClr w14:val="tx1"/>
        </w14:solidFill>
      </w14:textFill>
    </w:rPr>
  </w:style>
  <w:style w:type="paragraph" w:customStyle="1" w:styleId="33">
    <w:name w:val="二级标题1"/>
    <w:basedOn w:val="3"/>
    <w:next w:val="30"/>
    <w:link w:val="37"/>
    <w:autoRedefine/>
    <w:qFormat/>
    <w:uiPriority w:val="0"/>
    <w:pPr>
      <w:numPr>
        <w:numId w:val="3"/>
      </w:numPr>
      <w:spacing w:line="415" w:lineRule="auto"/>
      <w:ind w:left="840"/>
    </w:pPr>
    <w:rPr>
      <w:rFonts w:ascii="思源黑体 CN Heavy" w:hAnsi="思源黑体 CN Heavy" w:eastAsia="思源黑体 CN Heavy"/>
      <w:color w:val="E6233C"/>
    </w:rPr>
  </w:style>
  <w:style w:type="character" w:customStyle="1" w:styleId="34">
    <w:name w:val="列表段落 字符"/>
    <w:basedOn w:val="19"/>
    <w:link w:val="29"/>
    <w:autoRedefine/>
    <w:qFormat/>
    <w:uiPriority w:val="99"/>
  </w:style>
  <w:style w:type="character" w:customStyle="1" w:styleId="35">
    <w:name w:val="符号正文 字符"/>
    <w:basedOn w:val="34"/>
    <w:link w:val="31"/>
    <w:autoRedefine/>
    <w:qFormat/>
    <w:uiPriority w:val="0"/>
    <w:rPr>
      <w:rFonts w:ascii="思源黑体 CN Regular" w:hAnsi="思源黑体 CN Regular" w:eastAsia="微软雅黑" w:cs="微软雅黑"/>
      <w:kern w:val="2"/>
      <w:sz w:val="24"/>
      <w:szCs w:val="21"/>
    </w:rPr>
  </w:style>
  <w:style w:type="paragraph" w:customStyle="1" w:styleId="36">
    <w:name w:val="一级标题"/>
    <w:basedOn w:val="2"/>
    <w:link w:val="39"/>
    <w:autoRedefine/>
    <w:qFormat/>
    <w:uiPriority w:val="0"/>
    <w:pPr>
      <w:numPr>
        <w:ilvl w:val="0"/>
        <w:numId w:val="3"/>
      </w:numPr>
    </w:pPr>
    <w:rPr>
      <w:rFonts w:ascii="思源黑体 CN Heavy" w:hAnsi="思源黑体 CN Heavy" w:eastAsia="思源黑体 CN Heavy"/>
      <w:color w:val="E6233C"/>
    </w:rPr>
  </w:style>
  <w:style w:type="character" w:customStyle="1" w:styleId="37">
    <w:name w:val="二级标题1 Char"/>
    <w:basedOn w:val="26"/>
    <w:link w:val="33"/>
    <w:autoRedefine/>
    <w:qFormat/>
    <w:uiPriority w:val="0"/>
    <w:rPr>
      <w:rFonts w:ascii="思源黑体 CN Heavy" w:hAnsi="思源黑体 CN Heavy" w:eastAsia="思源黑体 CN Heavy" w:cstheme="majorBidi"/>
      <w:color w:val="E6233C"/>
      <w:kern w:val="2"/>
      <w:sz w:val="32"/>
      <w:szCs w:val="32"/>
    </w:rPr>
  </w:style>
  <w:style w:type="paragraph" w:customStyle="1" w:styleId="38">
    <w:name w:val="三级标题"/>
    <w:basedOn w:val="30"/>
    <w:link w:val="40"/>
    <w:uiPriority w:val="0"/>
    <w:pPr>
      <w:ind w:firstLine="0"/>
      <w:outlineLvl w:val="2"/>
    </w:pPr>
    <w:rPr>
      <w:b/>
      <w:color w:val="F0463C"/>
    </w:rPr>
  </w:style>
  <w:style w:type="character" w:customStyle="1" w:styleId="39">
    <w:name w:val="一级标题 字符"/>
    <w:basedOn w:val="28"/>
    <w:link w:val="36"/>
    <w:uiPriority w:val="0"/>
    <w:rPr>
      <w:rFonts w:ascii="思源黑体 CN Heavy" w:hAnsi="思源黑体 CN Heavy" w:eastAsia="思源黑体 CN Heavy"/>
      <w:color w:val="E6233C"/>
      <w:kern w:val="44"/>
      <w:sz w:val="44"/>
      <w:szCs w:val="44"/>
    </w:rPr>
  </w:style>
  <w:style w:type="character" w:customStyle="1" w:styleId="40">
    <w:name w:val="三级标题 字符"/>
    <w:basedOn w:val="32"/>
    <w:link w:val="38"/>
    <w:autoRedefine/>
    <w:qFormat/>
    <w:uiPriority w:val="0"/>
    <w:rPr>
      <w:rFonts w:ascii="微软雅黑" w:hAnsi="微软雅黑" w:eastAsia="微软雅黑" w:cs="微软雅黑"/>
      <w:b/>
      <w:color w:val="F0463C"/>
      <w:kern w:val="2"/>
      <w:sz w:val="24"/>
      <w:szCs w:val="21"/>
    </w:rPr>
  </w:style>
  <w:style w:type="character" w:customStyle="1" w:styleId="41">
    <w:name w:val="页眉 字符"/>
    <w:basedOn w:val="19"/>
    <w:link w:val="11"/>
    <w:qFormat/>
    <w:uiPriority w:val="99"/>
    <w:rPr>
      <w:sz w:val="18"/>
      <w:szCs w:val="18"/>
    </w:rPr>
  </w:style>
  <w:style w:type="character" w:customStyle="1" w:styleId="42">
    <w:name w:val="页脚 字符"/>
    <w:basedOn w:val="19"/>
    <w:link w:val="10"/>
    <w:autoRedefine/>
    <w:qFormat/>
    <w:uiPriority w:val="99"/>
    <w:rPr>
      <w:sz w:val="18"/>
      <w:szCs w:val="18"/>
    </w:rPr>
  </w:style>
  <w:style w:type="paragraph" w:customStyle="1" w:styleId="43">
    <w:name w:val="三级标题1"/>
    <w:basedOn w:val="38"/>
    <w:link w:val="44"/>
    <w:qFormat/>
    <w:uiPriority w:val="0"/>
    <w:pPr>
      <w:numPr>
        <w:ilvl w:val="2"/>
        <w:numId w:val="4"/>
      </w:numPr>
    </w:pPr>
  </w:style>
  <w:style w:type="character" w:customStyle="1" w:styleId="44">
    <w:name w:val="三级标题1 字符"/>
    <w:basedOn w:val="40"/>
    <w:link w:val="43"/>
    <w:qFormat/>
    <w:uiPriority w:val="0"/>
    <w:rPr>
      <w:rFonts w:ascii="思源黑体 CN Regular" w:hAnsi="思源黑体 CN Regular" w:eastAsia="思源黑体 CN Regular" w:cs="微软雅黑"/>
      <w:color w:val="F0463C"/>
      <w:kern w:val="2"/>
      <w:sz w:val="24"/>
      <w:szCs w:val="21"/>
    </w:rPr>
  </w:style>
  <w:style w:type="paragraph" w:customStyle="1" w:styleId="45">
    <w:name w:val="11"/>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character" w:customStyle="1" w:styleId="46">
    <w:name w:val="inline-comment-marker"/>
    <w:basedOn w:val="19"/>
    <w:qFormat/>
    <w:uiPriority w:val="0"/>
  </w:style>
  <w:style w:type="paragraph" w:customStyle="1" w:styleId="47">
    <w:name w:val="规则"/>
    <w:basedOn w:val="48"/>
    <w:link w:val="49"/>
    <w:autoRedefine/>
    <w:qFormat/>
    <w:uiPriority w:val="0"/>
    <w:pPr>
      <w:numPr>
        <w:ilvl w:val="0"/>
        <w:numId w:val="5"/>
      </w:numPr>
    </w:pPr>
    <w:rPr>
      <w:rFonts w:cs="Arial"/>
      <w14:scene3d>
        <w14:lightRig w14:rig="threePt" w14:dir="t">
          <w14:rot w14:lat="0" w14:lon="0" w14:rev="0"/>
        </w14:lightRig>
      </w14:scene3d>
    </w:rPr>
  </w:style>
  <w:style w:type="paragraph" w:customStyle="1" w:styleId="48">
    <w:name w:val="技术规范"/>
    <w:basedOn w:val="1"/>
    <w:link w:val="64"/>
    <w:qFormat/>
    <w:uiPriority w:val="0"/>
    <w:pPr>
      <w:numPr>
        <w:ilvl w:val="0"/>
        <w:numId w:val="6"/>
      </w:numPr>
      <w:spacing w:line="420" w:lineRule="exact"/>
      <w:ind w:left="0" w:firstLine="200" w:firstLineChars="200"/>
    </w:pPr>
    <w:rPr>
      <w:rFonts w:cs="微软雅黑"/>
      <w:sz w:val="24"/>
      <w:szCs w:val="21"/>
      <w:lang w:val="en-GB"/>
    </w:rPr>
  </w:style>
  <w:style w:type="character" w:customStyle="1" w:styleId="49">
    <w:name w:val="规则 Char1"/>
    <w:basedOn w:val="19"/>
    <w:link w:val="47"/>
    <w:autoRedefine/>
    <w:qFormat/>
    <w:uiPriority w:val="0"/>
    <w:rPr>
      <w:rFonts w:ascii="思源黑体 CN Regular" w:hAnsi="思源黑体 CN Regular" w:eastAsia="思源黑体 CN Regular" w:cs="Arial"/>
      <w:kern w:val="2"/>
      <w:sz w:val="24"/>
      <w:szCs w:val="21"/>
      <w:lang w:val="en-GB"/>
      <w14:scene3d>
        <w14:lightRig w14:rig="threePt" w14:dir="t">
          <w14:rot w14:lat="0" w14:lon="0" w14:rev="0"/>
        </w14:lightRig>
      </w14:scene3d>
    </w:rPr>
  </w:style>
  <w:style w:type="character" w:customStyle="1" w:styleId="50">
    <w:name w:val="批注框文本 字符"/>
    <w:basedOn w:val="19"/>
    <w:link w:val="9"/>
    <w:semiHidden/>
    <w:qFormat/>
    <w:uiPriority w:val="99"/>
    <w:rPr>
      <w:sz w:val="18"/>
      <w:szCs w:val="18"/>
    </w:rPr>
  </w:style>
  <w:style w:type="character" w:customStyle="1" w:styleId="51">
    <w:name w:val="不明显强调1"/>
    <w:basedOn w:val="19"/>
    <w:qFormat/>
    <w:uiPriority w:val="19"/>
    <w:rPr>
      <w:i/>
      <w:iCs/>
      <w:color w:val="404040" w:themeColor="text1" w:themeTint="BF"/>
      <w14:textFill>
        <w14:solidFill>
          <w14:schemeClr w14:val="tx1">
            <w14:lumMod w14:val="75000"/>
            <w14:lumOff w14:val="25000"/>
          </w14:schemeClr>
        </w14:solidFill>
      </w14:textFill>
    </w:rPr>
  </w:style>
  <w:style w:type="character" w:customStyle="1" w:styleId="52">
    <w:name w:val="批注文字 字符"/>
    <w:basedOn w:val="19"/>
    <w:link w:val="7"/>
    <w:semiHidden/>
    <w:qFormat/>
    <w:uiPriority w:val="99"/>
  </w:style>
  <w:style w:type="character" w:customStyle="1" w:styleId="53">
    <w:name w:val="批注主题 字符"/>
    <w:basedOn w:val="52"/>
    <w:link w:val="16"/>
    <w:autoRedefine/>
    <w:semiHidden/>
    <w:qFormat/>
    <w:uiPriority w:val="99"/>
    <w:rPr>
      <w:b/>
      <w:bCs/>
    </w:rPr>
  </w:style>
  <w:style w:type="paragraph" w:customStyle="1" w:styleId="54">
    <w:name w:val="任务"/>
    <w:basedOn w:val="48"/>
    <w:link w:val="55"/>
    <w:autoRedefine/>
    <w:qFormat/>
    <w:uiPriority w:val="0"/>
    <w:pPr>
      <w:numPr>
        <w:ilvl w:val="0"/>
        <w:numId w:val="7"/>
      </w:numPr>
    </w:pPr>
    <w:rPr>
      <w:rFonts w:ascii="思源黑体 CN Heavy" w:hAnsi="思源黑体 CN Heavy" w:eastAsia="思源黑体 CN Heavy"/>
      <w:b/>
      <w14:scene3d>
        <w14:lightRig w14:rig="threePt" w14:dir="t">
          <w14:rot w14:lat="0" w14:lon="0" w14:rev="0"/>
        </w14:lightRig>
      </w14:scene3d>
    </w:rPr>
  </w:style>
  <w:style w:type="character" w:customStyle="1" w:styleId="55">
    <w:name w:val="任务 Char"/>
    <w:basedOn w:val="19"/>
    <w:link w:val="54"/>
    <w:uiPriority w:val="0"/>
    <w:rPr>
      <w:rFonts w:ascii="思源黑体 CN Heavy" w:hAnsi="思源黑体 CN Heavy" w:eastAsia="思源黑体 CN Heavy" w:cs="微软雅黑"/>
      <w:b/>
      <w:kern w:val="2"/>
      <w:sz w:val="24"/>
      <w:szCs w:val="21"/>
      <w:lang w:val="en-GB"/>
      <w14:scene3d>
        <w14:lightRig w14:rig="threePt" w14:dir="t">
          <w14:rot w14:lat="0" w14:lon="0" w14:rev="0"/>
        </w14:lightRig>
      </w14:scene3d>
    </w:rPr>
  </w:style>
  <w:style w:type="paragraph" w:customStyle="1" w:styleId="56">
    <w:name w:val="Default"/>
    <w:autoRedefine/>
    <w:qFormat/>
    <w:uiPriority w:val="0"/>
    <w:pPr>
      <w:widowControl w:val="0"/>
      <w:autoSpaceDE w:val="0"/>
      <w:autoSpaceDN w:val="0"/>
      <w:adjustRightInd w:val="0"/>
    </w:pPr>
    <w:rPr>
      <w:rFonts w:ascii="微软雅黑" w:eastAsia="微软雅黑" w:cs="微软雅黑" w:hAnsiTheme="minorHAnsi"/>
      <w:color w:val="000000"/>
      <w:sz w:val="24"/>
      <w:szCs w:val="24"/>
      <w:lang w:val="en-US" w:eastAsia="zh-CN" w:bidi="ar-SA"/>
    </w:rPr>
  </w:style>
  <w:style w:type="character" w:customStyle="1" w:styleId="57">
    <w:name w:val="标题 3 字符"/>
    <w:basedOn w:val="19"/>
    <w:link w:val="4"/>
    <w:autoRedefine/>
    <w:semiHidden/>
    <w:qFormat/>
    <w:uiPriority w:val="9"/>
    <w:rPr>
      <w:rFonts w:asciiTheme="majorHAnsi" w:hAnsiTheme="majorHAnsi" w:eastAsiaTheme="majorEastAsia" w:cstheme="majorBidi"/>
      <w:color w:val="1F4E79" w:themeColor="accent1" w:themeShade="80"/>
      <w:sz w:val="24"/>
      <w:szCs w:val="24"/>
    </w:rPr>
  </w:style>
  <w:style w:type="character" w:customStyle="1" w:styleId="58">
    <w:name w:val="标题 5 字符"/>
    <w:basedOn w:val="19"/>
    <w:link w:val="6"/>
    <w:autoRedefine/>
    <w:semiHidden/>
    <w:qFormat/>
    <w:uiPriority w:val="9"/>
    <w:rPr>
      <w:rFonts w:asciiTheme="majorHAnsi" w:hAnsiTheme="majorHAnsi" w:eastAsiaTheme="majorEastAsia" w:cstheme="majorBidi"/>
      <w:color w:val="2E75B6" w:themeColor="accent1" w:themeShade="BF"/>
    </w:rPr>
  </w:style>
  <w:style w:type="paragraph" w:customStyle="1" w:styleId="59">
    <w:name w:val="a"/>
    <w:basedOn w:val="1"/>
    <w:autoRedefine/>
    <w:qFormat/>
    <w:uiPriority w:val="0"/>
    <w:pPr>
      <w:widowControl/>
      <w:spacing w:before="100" w:beforeAutospacing="1" w:after="100" w:afterAutospacing="1"/>
      <w:jc w:val="left"/>
    </w:pPr>
    <w:rPr>
      <w:rFonts w:ascii="Times New Roman" w:hAnsi="Times New Roman" w:cs="Times New Roman"/>
      <w:kern w:val="0"/>
      <w:sz w:val="24"/>
      <w:szCs w:val="24"/>
      <w:lang w:val="en-GB"/>
    </w:rPr>
  </w:style>
  <w:style w:type="character" w:customStyle="1" w:styleId="60">
    <w:name w:val="ql-author-14022863"/>
    <w:basedOn w:val="19"/>
    <w:autoRedefine/>
    <w:qFormat/>
    <w:uiPriority w:val="0"/>
  </w:style>
  <w:style w:type="character" w:customStyle="1" w:styleId="61">
    <w:name w:val="ql-author-13496091"/>
    <w:basedOn w:val="19"/>
    <w:autoRedefine/>
    <w:qFormat/>
    <w:uiPriority w:val="0"/>
  </w:style>
  <w:style w:type="character" w:customStyle="1" w:styleId="62">
    <w:name w:val="ql-author-15805597"/>
    <w:basedOn w:val="19"/>
    <w:uiPriority w:val="0"/>
  </w:style>
  <w:style w:type="paragraph" w:styleId="63">
    <w:name w:val="No Spacing"/>
    <w:basedOn w:val="43"/>
    <w:autoRedefine/>
    <w:qFormat/>
    <w:uiPriority w:val="1"/>
    <w:pPr>
      <w:numPr>
        <w:ilvl w:val="0"/>
        <w:numId w:val="0"/>
      </w:numPr>
    </w:pPr>
    <w:rPr>
      <w:rFonts w:ascii="思源黑体 CN Heavy" w:hAnsi="思源黑体 CN Heavy" w:eastAsia="思源黑体 CN Heavy"/>
      <w:color w:val="2E75B6" w:themeColor="accent1" w:themeShade="BF"/>
    </w:rPr>
  </w:style>
  <w:style w:type="character" w:customStyle="1" w:styleId="64">
    <w:name w:val="技术规范 Char"/>
    <w:basedOn w:val="19"/>
    <w:link w:val="48"/>
    <w:qFormat/>
    <w:uiPriority w:val="0"/>
    <w:rPr>
      <w:rFonts w:ascii="思源黑体 CN Regular" w:hAnsi="思源黑体 CN Regular" w:eastAsia="思源黑体 CN Regular" w:cs="微软雅黑"/>
      <w:kern w:val="2"/>
      <w:sz w:val="24"/>
      <w:szCs w:val="21"/>
      <w:lang w:val="en-GB"/>
    </w:rPr>
  </w:style>
  <w:style w:type="character" w:customStyle="1" w:styleId="65">
    <w:name w:val="标题 4 字符"/>
    <w:basedOn w:val="19"/>
    <w:link w:val="5"/>
    <w:semiHidden/>
    <w:uiPriority w:val="9"/>
    <w:rPr>
      <w:rFonts w:asciiTheme="majorHAnsi" w:hAnsiTheme="majorHAnsi" w:eastAsiaTheme="majorEastAsia" w:cstheme="majorBidi"/>
      <w:b/>
      <w:bCs/>
      <w:sz w:val="28"/>
      <w:szCs w:val="28"/>
    </w:rPr>
  </w:style>
  <w:style w:type="character" w:customStyle="1" w:styleId="66">
    <w:name w:val="解释 Char"/>
    <w:basedOn w:val="35"/>
    <w:link w:val="67"/>
    <w:uiPriority w:val="0"/>
    <w:rPr>
      <w:rFonts w:ascii="微软雅黑" w:hAnsi="微软雅黑" w:eastAsia="微软雅黑" w:cs="微软雅黑"/>
      <w:kern w:val="2"/>
      <w:sz w:val="24"/>
      <w:szCs w:val="21"/>
    </w:rPr>
  </w:style>
  <w:style w:type="paragraph" w:customStyle="1" w:styleId="67">
    <w:name w:val="解释"/>
    <w:basedOn w:val="31"/>
    <w:link w:val="66"/>
    <w:qFormat/>
    <w:uiPriority w:val="0"/>
    <w:pPr>
      <w:numPr>
        <w:numId w:val="0"/>
      </w:numPr>
      <w:ind w:left="1271" w:hanging="420"/>
    </w:pPr>
    <w:rPr>
      <w:rFonts w:ascii="微软雅黑" w:hAnsi="微软雅黑"/>
    </w:rPr>
  </w:style>
  <w:style w:type="character" w:customStyle="1" w:styleId="68">
    <w:name w:val="规则 Char"/>
    <w:basedOn w:val="32"/>
    <w:uiPriority w:val="0"/>
    <w:rPr>
      <w:rFonts w:ascii="微软雅黑" w:hAnsi="微软雅黑" w:eastAsia="微软雅黑" w:cs="微软雅黑"/>
      <w:color w:val="000000" w:themeColor="text1"/>
      <w:kern w:val="2"/>
      <w:sz w:val="24"/>
      <w:szCs w:val="21"/>
      <w14:textFill>
        <w14:solidFill>
          <w14:schemeClr w14:val="tx1"/>
        </w14:solidFill>
      </w14:textFill>
    </w:rPr>
  </w:style>
  <w:style w:type="paragraph" w:customStyle="1" w:styleId="69">
    <w:name w:val="修订1"/>
    <w:hidden/>
    <w:semiHidden/>
    <w:uiPriority w:val="99"/>
    <w:rPr>
      <w:rFonts w:asciiTheme="minorHAnsi" w:hAnsiTheme="minorHAnsi" w:eastAsiaTheme="minorEastAsia" w:cstheme="minorBidi"/>
      <w:kern w:val="2"/>
      <w:sz w:val="21"/>
      <w:szCs w:val="22"/>
      <w:lang w:val="en-US" w:eastAsia="zh-CN" w:bidi="ar-SA"/>
    </w:rPr>
  </w:style>
  <w:style w:type="table" w:customStyle="1" w:styleId="70">
    <w:name w:val="网格表 5 深色 - 着色 51"/>
    <w:basedOn w:val="17"/>
    <w:uiPriority w:val="50"/>
    <w:tblPr>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9E2F3" w:themeFill="accent5" w:themeFillTint="33"/>
    </w:tcPr>
    <w:tblStylePr w:type="firstRow">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4472C4" w:themeFill="accent5"/>
      </w:tcPr>
    </w:tblStylePr>
    <w:tblStylePr w:type="lastRow">
      <w:rPr>
        <w:b/>
        <w:bCs/>
        <w:color w:val="FFFFFF" w:themeColor="background1"/>
        <w14:textFill>
          <w14:solidFill>
            <w14:schemeClr w14:val="bg1"/>
          </w14:solidFill>
        </w14:textFill>
      </w:r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4472C4" w:themeFill="accent5"/>
      </w:tcPr>
    </w:tblStylePr>
    <w:tblStylePr w:type="firstCol">
      <w:rPr>
        <w:b/>
        <w:bCs/>
        <w:color w:val="FFFFFF" w:themeColor="background1"/>
        <w14:textFill>
          <w14:solidFill>
            <w14:schemeClr w14:val="bg1"/>
          </w14:solidFill>
        </w14:textFill>
      </w:rPr>
      <w:tcPr>
        <w:tcBorders>
          <w:top w:val="single" w:color="FFFFFF" w:themeColor="background1" w:sz="4" w:space="0"/>
          <w:left w:val="single" w:color="FFFFFF" w:themeColor="background1" w:sz="4" w:space="0"/>
          <w:bottom w:val="single" w:color="FFFFFF" w:themeColor="background1" w:sz="4" w:space="0"/>
          <w:insideV w:val="nil"/>
        </w:tcBorders>
        <w:shd w:val="clear" w:color="auto" w:fill="4472C4" w:themeFill="accent5"/>
      </w:tcPr>
    </w:tblStylePr>
    <w:tblStylePr w:type="lastCol">
      <w:rPr>
        <w:b/>
        <w:bCs/>
        <w:color w:val="FFFFFF" w:themeColor="background1"/>
        <w14:textFill>
          <w14:solidFill>
            <w14:schemeClr w14:val="bg1"/>
          </w14:solidFill>
        </w14:textFill>
      </w:rPr>
      <w:tcPr>
        <w:tcBorders>
          <w:top w:val="single" w:color="FFFFFF" w:themeColor="background1" w:sz="4" w:space="0"/>
          <w:bottom w:val="single" w:color="FFFFFF" w:themeColor="background1" w:sz="4" w:space="0"/>
          <w:right w:val="single" w:color="FFFFFF" w:themeColor="background1" w:sz="4" w:space="0"/>
          <w:insideV w:val="nil"/>
        </w:tcBorders>
        <w:shd w:val="clear" w:color="auto" w:fill="4472C4" w:themeFill="accent5"/>
      </w:tcPr>
    </w:tblStylePr>
    <w:tblStylePr w:type="band1Vert">
      <w:tcPr>
        <w:shd w:val="clear" w:color="auto" w:fill="B4C6E7" w:themeFill="accent5" w:themeFillTint="66"/>
      </w:tcPr>
    </w:tblStylePr>
    <w:tblStylePr w:type="band1Horz">
      <w:tcPr>
        <w:shd w:val="clear" w:color="auto" w:fill="B4C6E7" w:themeFill="accent5" w:themeFillTint="66"/>
      </w:tcPr>
    </w:tblStylePr>
  </w:style>
  <w:style w:type="table" w:customStyle="1" w:styleId="71">
    <w:name w:val="无格式表格 31"/>
    <w:basedOn w:val="17"/>
    <w:qFormat/>
    <w:uiPriority w:val="43"/>
    <w:tblStylePr w:type="firstRow">
      <w:rPr>
        <w:b/>
        <w:bCs/>
        <w:caps/>
      </w:rPr>
      <w:tcPr>
        <w:tcBorders>
          <w:bottom w:val="single" w:color="7E7E7E" w:themeColor="text1" w:themeTint="80" w:sz="4" w:space="0"/>
        </w:tcBorders>
      </w:tcPr>
    </w:tblStylePr>
    <w:tblStylePr w:type="lastRow">
      <w:rPr>
        <w:b/>
        <w:bCs/>
        <w:caps/>
      </w:rPr>
      <w:tcPr>
        <w:tcBorders>
          <w:top w:val="nil"/>
        </w:tcBorders>
      </w:tcPr>
    </w:tblStylePr>
    <w:tblStylePr w:type="firstCol">
      <w:rPr>
        <w:b/>
        <w:bCs/>
        <w:caps/>
      </w:rPr>
      <w:tcPr>
        <w:tcBorders>
          <w:right w:val="single" w:color="7E7E7E" w:themeColor="text1" w:themeTint="80" w:sz="4" w:space="0"/>
        </w:tcBorders>
      </w:tcPr>
    </w:tblStylePr>
    <w:tblStylePr w:type="lastCol">
      <w:rPr>
        <w:b/>
        <w:bCs/>
        <w:caps/>
      </w:rPr>
      <w:tcPr>
        <w:tcBorders>
          <w:left w:val="nil"/>
        </w:tcBorders>
      </w:tcPr>
    </w:tblStylePr>
    <w:tblStylePr w:type="band1Vert">
      <w:tcPr>
        <w:shd w:val="clear" w:color="auto" w:fill="F1F1F1" w:themeFill="background1" w:themeFillShade="F2"/>
      </w:tcPr>
    </w:tblStylePr>
    <w:tblStylePr w:type="band1Horz">
      <w:tcPr>
        <w:shd w:val="clear" w:color="auto" w:fill="F1F1F1" w:themeFill="background1" w:themeFillShade="F2"/>
      </w:tcPr>
    </w:tblStylePr>
    <w:tblStylePr w:type="neCell">
      <w:tcPr>
        <w:tcBorders>
          <w:left w:val="nil"/>
        </w:tcBorders>
      </w:tcPr>
    </w:tblStylePr>
    <w:tblStylePr w:type="nwCell">
      <w:tcPr>
        <w:tcBorders>
          <w:right w:val="nil"/>
        </w:tcBorders>
      </w:tcPr>
    </w:tblStylePr>
  </w:style>
  <w:style w:type="table" w:customStyle="1" w:styleId="72">
    <w:name w:val="清单表 7 彩色 - 着色 21"/>
    <w:basedOn w:val="17"/>
    <w:autoRedefine/>
    <w:qFormat/>
    <w:uiPriority w:val="52"/>
    <w:rPr>
      <w:color w:val="C55A11" w:themeColor="accent2" w:themeShade="BF"/>
    </w:rPr>
    <w:tblStylePr w:type="firstRow">
      <w:rPr>
        <w:rFonts w:asciiTheme="majorHAnsi" w:hAnsiTheme="majorHAnsi" w:eastAsiaTheme="majorEastAsia" w:cstheme="majorBidi"/>
        <w:i/>
        <w:iCs/>
        <w:sz w:val="26"/>
      </w:rPr>
      <w:tcPr>
        <w:tcBorders>
          <w:bottom w:val="single" w:color="ED7D31" w:themeColor="accent2" w:sz="4" w:space="0"/>
        </w:tcBorders>
        <w:shd w:val="clear" w:color="auto" w:fill="FFFFFF" w:themeFill="background1"/>
      </w:tcPr>
    </w:tblStylePr>
    <w:tblStylePr w:type="lastRow">
      <w:rPr>
        <w:rFonts w:asciiTheme="majorHAnsi" w:hAnsiTheme="majorHAnsi" w:eastAsiaTheme="majorEastAsia" w:cstheme="majorBidi"/>
        <w:i/>
        <w:iCs/>
        <w:sz w:val="26"/>
      </w:rPr>
      <w:tcPr>
        <w:tcBorders>
          <w:top w:val="single" w:color="ED7D31" w:themeColor="accent2"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cPr>
        <w:tcBorders>
          <w:right w:val="single" w:color="ED7D31" w:themeColor="accent2" w:sz="4" w:space="0"/>
        </w:tcBorders>
        <w:shd w:val="clear" w:color="auto" w:fill="FFFFFF" w:themeFill="background1"/>
      </w:tcPr>
    </w:tblStylePr>
    <w:tblStylePr w:type="lastCol">
      <w:rPr>
        <w:rFonts w:asciiTheme="majorHAnsi" w:hAnsiTheme="majorHAnsi" w:eastAsiaTheme="majorEastAsia" w:cstheme="majorBidi"/>
        <w:i/>
        <w:iCs/>
        <w:sz w:val="26"/>
      </w:rPr>
      <w:tcPr>
        <w:tcBorders>
          <w:left w:val="single" w:color="ED7D31" w:themeColor="accent2" w:sz="4" w:space="0"/>
        </w:tcBorders>
        <w:shd w:val="clear" w:color="auto" w:fill="FFFFFF" w:themeFill="background1"/>
      </w:tcPr>
    </w:tblStylePr>
    <w:tblStylePr w:type="band1Vert">
      <w:tcPr>
        <w:shd w:val="clear" w:color="auto" w:fill="FBE4D5" w:themeFill="accent2" w:themeFillTint="33"/>
      </w:tcPr>
    </w:tblStylePr>
    <w:tblStylePr w:type="band1Horz">
      <w:tcPr>
        <w:shd w:val="clear" w:color="auto" w:fill="FBE4D5" w:themeFill="accent2" w:themeFillTint="33"/>
      </w:tcPr>
    </w:tblStylePr>
    <w:tblStylePr w:type="neCell">
      <w:tcPr>
        <w:tcBorders>
          <w:left w:val="nil"/>
        </w:tcBorders>
      </w:tcPr>
    </w:tblStylePr>
    <w:tblStylePr w:type="nwCell">
      <w:tcPr>
        <w:tcBorders>
          <w:right w:val="nil"/>
        </w:tcBorders>
      </w:tcPr>
    </w:tblStylePr>
    <w:tblStylePr w:type="seCell">
      <w:tcPr>
        <w:tcBorders>
          <w:left w:val="nil"/>
        </w:tcBorders>
      </w:tcPr>
    </w:tblStylePr>
    <w:tblStylePr w:type="swCell">
      <w:tcPr>
        <w:tcBorders>
          <w:right w:val="nil"/>
        </w:tcBorders>
      </w:tcPr>
    </w:tblStylePr>
  </w:style>
  <w:style w:type="paragraph" w:customStyle="1" w:styleId="73">
    <w:name w:val="标题1"/>
    <w:basedOn w:val="1"/>
    <w:link w:val="74"/>
    <w:qFormat/>
    <w:uiPriority w:val="0"/>
    <w:pPr>
      <w:spacing w:line="240" w:lineRule="auto"/>
      <w:jc w:val="center"/>
    </w:pPr>
    <w:rPr>
      <w:b/>
      <w:sz w:val="52"/>
      <w:szCs w:val="44"/>
    </w:rPr>
  </w:style>
  <w:style w:type="character" w:customStyle="1" w:styleId="74">
    <w:name w:val="标题 Char"/>
    <w:basedOn w:val="19"/>
    <w:link w:val="73"/>
    <w:uiPriority w:val="0"/>
    <w:rPr>
      <w:rFonts w:ascii="思源黑体 CN Regular" w:hAnsi="思源黑体 CN Regular" w:eastAsia="思源黑体 CN Regular"/>
      <w:b/>
      <w:sz w:val="52"/>
      <w:szCs w:val="44"/>
    </w:rPr>
  </w:style>
  <w:style w:type="character" w:customStyle="1" w:styleId="75">
    <w:name w:val="脚注文本 字符"/>
    <w:basedOn w:val="19"/>
    <w:link w:val="13"/>
    <w:semiHidden/>
    <w:uiPriority w:val="99"/>
    <w:rPr>
      <w:rFonts w:ascii="思源黑体 CN Regular" w:hAnsi="思源黑体 CN Regular"/>
      <w:sz w:val="20"/>
      <w:szCs w:val="20"/>
    </w:rPr>
  </w:style>
  <w:style w:type="character" w:customStyle="1" w:styleId="76">
    <w:name w:val="未处理的提及1"/>
    <w:basedOn w:val="19"/>
    <w:semiHidden/>
    <w:unhideWhenUsed/>
    <w:uiPriority w:val="99"/>
    <w:rPr>
      <w:color w:val="605E5C"/>
      <w:shd w:val="clear" w:color="auto" w:fill="E1DFDD"/>
    </w:rPr>
  </w:style>
  <w:style w:type="character" w:customStyle="1" w:styleId="77">
    <w:name w:val="三级标题1 Char"/>
    <w:basedOn w:val="40"/>
    <w:autoRedefine/>
    <w:qFormat/>
    <w:uiPriority w:val="0"/>
    <w:rPr>
      <w:rFonts w:ascii="思源黑体 CN Regular" w:hAnsi="思源黑体 CN Regular" w:eastAsia="思源黑体 CN Heavy" w:cs="微软雅黑"/>
      <w:color w:val="2E75B6" w:themeColor="accent1" w:themeShade="BF"/>
      <w:kern w:val="2"/>
      <w:sz w:val="24"/>
      <w:szCs w:val="21"/>
    </w:rPr>
  </w:style>
  <w:style w:type="paragraph" w:customStyle="1" w:styleId="78">
    <w:name w:val="目录"/>
    <w:basedOn w:val="1"/>
    <w:link w:val="80"/>
    <w:autoRedefine/>
    <w:qFormat/>
    <w:uiPriority w:val="0"/>
    <w:pPr>
      <w:widowControl/>
      <w:spacing w:line="240" w:lineRule="auto"/>
      <w:jc w:val="center"/>
    </w:pPr>
    <w:rPr>
      <w:rFonts w:ascii="思源黑体 CN Heavy" w:hAnsi="思源黑体 CN Heavy" w:eastAsia="思源黑体 CN Heavy" w:cs="微软雅黑"/>
      <w:b/>
      <w:color w:val="E6233C"/>
      <w:sz w:val="44"/>
      <w:szCs w:val="44"/>
    </w:rPr>
  </w:style>
  <w:style w:type="paragraph" w:customStyle="1" w:styleId="79">
    <w:name w:val="一级 标题"/>
    <w:basedOn w:val="36"/>
    <w:link w:val="82"/>
    <w:qFormat/>
    <w:uiPriority w:val="0"/>
  </w:style>
  <w:style w:type="character" w:customStyle="1" w:styleId="80">
    <w:name w:val="目录 Char"/>
    <w:basedOn w:val="19"/>
    <w:link w:val="78"/>
    <w:uiPriority w:val="0"/>
    <w:rPr>
      <w:rFonts w:ascii="思源黑体 CN Heavy" w:hAnsi="思源黑体 CN Heavy" w:eastAsia="思源黑体 CN Heavy" w:cs="微软雅黑"/>
      <w:b/>
      <w:color w:val="E6233C"/>
      <w:sz w:val="44"/>
      <w:szCs w:val="44"/>
    </w:rPr>
  </w:style>
  <w:style w:type="paragraph" w:customStyle="1" w:styleId="81">
    <w:name w:val="二级 标题"/>
    <w:basedOn w:val="33"/>
    <w:link w:val="83"/>
    <w:autoRedefine/>
    <w:qFormat/>
    <w:uiPriority w:val="0"/>
  </w:style>
  <w:style w:type="character" w:customStyle="1" w:styleId="82">
    <w:name w:val="一级 标题 Char"/>
    <w:basedOn w:val="39"/>
    <w:link w:val="79"/>
    <w:uiPriority w:val="0"/>
    <w:rPr>
      <w:rFonts w:ascii="思源黑体 CN Heavy" w:hAnsi="思源黑体 CN Heavy" w:eastAsia="思源黑体 CN Heavy"/>
      <w:color w:val="E6233C"/>
      <w:kern w:val="44"/>
      <w:sz w:val="44"/>
      <w:szCs w:val="44"/>
    </w:rPr>
  </w:style>
  <w:style w:type="character" w:customStyle="1" w:styleId="83">
    <w:name w:val="二级 标题 Char"/>
    <w:basedOn w:val="37"/>
    <w:link w:val="81"/>
    <w:uiPriority w:val="0"/>
    <w:rPr>
      <w:rFonts w:ascii="思源黑体 CN Heavy" w:hAnsi="思源黑体 CN Heavy" w:eastAsia="思源黑体 CN Heavy" w:cstheme="majorBidi"/>
      <w:color w:val="E6233C"/>
      <w:kern w:val="2"/>
      <w:sz w:val="32"/>
      <w:szCs w:val="32"/>
    </w:rPr>
  </w:style>
  <w:style w:type="table" w:customStyle="1" w:styleId="84">
    <w:name w:val="网格表 4 - 着色 31"/>
    <w:basedOn w:val="17"/>
    <w:uiPriority w:val="49"/>
    <w:rPr>
      <w:rFonts w:ascii="Times New Roman" w:hAnsi="Times New Roman" w:eastAsia="宋体" w:cs="Times New Roman"/>
    </w:rPr>
    <w:tblPr>
      <w:tblBorders>
        <w:top w:val="single" w:color="C8C8C8" w:themeColor="accent3" w:themeTint="99" w:sz="4" w:space="0"/>
        <w:left w:val="single" w:color="C8C8C8" w:themeColor="accent3" w:themeTint="99" w:sz="4" w:space="0"/>
        <w:bottom w:val="single" w:color="C8C8C8" w:themeColor="accent3" w:themeTint="99" w:sz="4" w:space="0"/>
        <w:right w:val="single" w:color="C8C8C8" w:themeColor="accent3" w:themeTint="99" w:sz="4" w:space="0"/>
        <w:insideH w:val="single" w:color="C8C8C8" w:themeColor="accent3" w:themeTint="99" w:sz="4" w:space="0"/>
        <w:insideV w:val="single" w:color="C8C8C8" w:themeColor="accent3" w:themeTint="99" w:sz="4" w:space="0"/>
      </w:tblBorders>
    </w:tblPr>
    <w:tblStylePr w:type="firstRow">
      <w:rPr>
        <w:b/>
        <w:bCs/>
        <w:color w:val="FFFFFF" w:themeColor="background1"/>
        <w14:textFill>
          <w14:solidFill>
            <w14:schemeClr w14:val="bg1"/>
          </w14:solidFill>
        </w14:textFill>
      </w:rPr>
      <w:tcPr>
        <w:tcBorders>
          <w:top w:val="single" w:color="A5A5A5" w:themeColor="accent3" w:sz="4" w:space="0"/>
          <w:left w:val="single" w:color="A5A5A5" w:themeColor="accent3" w:sz="4" w:space="0"/>
          <w:bottom w:val="single" w:color="A5A5A5" w:themeColor="accent3" w:sz="4" w:space="0"/>
          <w:right w:val="single" w:color="A5A5A5" w:themeColor="accent3" w:sz="4" w:space="0"/>
          <w:insideH w:val="nil"/>
          <w:insideV w:val="nil"/>
        </w:tcBorders>
        <w:shd w:val="clear" w:color="auto" w:fill="A5A5A5" w:themeFill="accent3"/>
      </w:tcPr>
    </w:tblStylePr>
    <w:tblStylePr w:type="lastRow">
      <w:rPr>
        <w:b/>
        <w:bCs/>
      </w:rPr>
      <w:tcPr>
        <w:tcBorders>
          <w:top w:val="double" w:color="A5A5A5" w:themeColor="accent3"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85">
    <w:name w:val="网格表 4 - 着色 11"/>
    <w:basedOn w:val="17"/>
    <w:qFormat/>
    <w:uiPriority w:val="49"/>
    <w:rPr>
      <w:rFonts w:ascii="Times New Roman" w:hAnsi="Times New Roman" w:eastAsia="宋体" w:cs="Times New Roman"/>
    </w:rPr>
    <w:tblPr>
      <w:tblBorders>
        <w:top w:val="single" w:color="9CC2E5" w:themeColor="accent1" w:themeTint="99" w:sz="4" w:space="0"/>
        <w:left w:val="single" w:color="9CC2E5" w:themeColor="accent1" w:themeTint="99" w:sz="4" w:space="0"/>
        <w:bottom w:val="single" w:color="9CC2E5" w:themeColor="accent1" w:themeTint="99" w:sz="4" w:space="0"/>
        <w:right w:val="single" w:color="9CC2E5" w:themeColor="accent1" w:themeTint="99" w:sz="4" w:space="0"/>
        <w:insideH w:val="single" w:color="9CC2E5" w:themeColor="accent1" w:themeTint="99" w:sz="4" w:space="0"/>
        <w:insideV w:val="single" w:color="9CC2E5" w:themeColor="accent1" w:themeTint="99" w:sz="4" w:space="0"/>
      </w:tblBorders>
    </w:tblPr>
    <w:tblStylePr w:type="firstRow">
      <w:rPr>
        <w:b/>
        <w:bCs/>
        <w:color w:val="FFFFFF" w:themeColor="background1"/>
        <w14:textFill>
          <w14:solidFill>
            <w14:schemeClr w14:val="bg1"/>
          </w14:solidFill>
        </w14:textFill>
      </w:rPr>
      <w:tcPr>
        <w:tcBorders>
          <w:top w:val="single" w:color="5B9BD5" w:themeColor="accent1" w:sz="4" w:space="0"/>
          <w:left w:val="single" w:color="5B9BD5" w:themeColor="accent1" w:sz="4" w:space="0"/>
          <w:bottom w:val="single" w:color="5B9BD5" w:themeColor="accent1" w:sz="4" w:space="0"/>
          <w:right w:val="single" w:color="5B9BD5" w:themeColor="accent1" w:sz="4" w:space="0"/>
          <w:insideH w:val="nil"/>
          <w:insideV w:val="nil"/>
        </w:tcBorders>
        <w:shd w:val="clear" w:color="auto" w:fill="5B9BD5" w:themeFill="accent1"/>
      </w:tcPr>
    </w:tblStylePr>
    <w:tblStylePr w:type="lastRow">
      <w:rPr>
        <w:b/>
        <w:bCs/>
      </w:rPr>
      <w:tcPr>
        <w:tcBorders>
          <w:top w:val="double" w:color="5B9BD5" w:themeColor="accent1" w:sz="4" w:space="0"/>
        </w:tcBorders>
      </w:tcPr>
    </w:tblStylePr>
    <w:tblStylePr w:type="firstCol">
      <w:rPr>
        <w:b/>
        <w:bCs/>
      </w:rPr>
    </w:tblStylePr>
    <w:tblStylePr w:type="lastCol">
      <w:rPr>
        <w:b/>
        <w:bCs/>
      </w:rPr>
    </w:tblStylePr>
    <w:tblStylePr w:type="band1Vert">
      <w:tcPr>
        <w:shd w:val="clear" w:color="auto" w:fill="DEEAF6" w:themeFill="accent1" w:themeFillTint="33"/>
      </w:tcPr>
    </w:tblStylePr>
    <w:tblStylePr w:type="band1Horz">
      <w:tcPr>
        <w:shd w:val="clear" w:color="auto" w:fill="DEEAF6" w:themeFill="accent1" w:themeFillTint="33"/>
      </w:tcPr>
    </w:tblStylePr>
  </w:style>
  <w:style w:type="paragraph" w:customStyle="1" w:styleId="86">
    <w:name w:val="石墨文档正文"/>
    <w:qFormat/>
    <w:uiPriority w:val="0"/>
    <w:pPr>
      <w:spacing w:after="160" w:line="259" w:lineRule="auto"/>
    </w:pPr>
    <w:rPr>
      <w:rFonts w:ascii="微软雅黑" w:hAnsi="微软雅黑" w:eastAsia="微软雅黑" w:cs="微软雅黑"/>
      <w:sz w:val="24"/>
      <w:szCs w:val="24"/>
      <w:lang w:val="en-US" w:eastAsia="zh-CN" w:bidi="ar-SA"/>
    </w:rPr>
  </w:style>
  <w:style w:type="table" w:customStyle="1" w:styleId="87">
    <w:name w:val="清单表 3 - 着色 11"/>
    <w:basedOn w:val="17"/>
    <w:uiPriority w:val="48"/>
    <w:tblPr>
      <w:tblBorders>
        <w:top w:val="single" w:color="5B9BD5" w:themeColor="accent1" w:sz="4" w:space="0"/>
        <w:left w:val="single" w:color="5B9BD5" w:themeColor="accent1" w:sz="4" w:space="0"/>
        <w:bottom w:val="single" w:color="5B9BD5" w:themeColor="accent1" w:sz="4" w:space="0"/>
        <w:right w:val="single" w:color="5B9BD5" w:themeColor="accent1" w:sz="4" w:space="0"/>
      </w:tblBorders>
    </w:tblPr>
    <w:tblStylePr w:type="firstRow">
      <w:rPr>
        <w:b/>
        <w:bCs/>
        <w:color w:val="FFFFFF" w:themeColor="background1"/>
        <w14:textFill>
          <w14:solidFill>
            <w14:schemeClr w14:val="bg1"/>
          </w14:solidFill>
        </w14:textFill>
      </w:rPr>
      <w:tcPr>
        <w:shd w:val="clear" w:color="auto" w:fill="5B9BD5" w:themeFill="accent1"/>
      </w:tcPr>
    </w:tblStylePr>
    <w:tblStylePr w:type="lastRow">
      <w:rPr>
        <w:b/>
        <w:bCs/>
      </w:rPr>
      <w:tcPr>
        <w:tcBorders>
          <w:top w:val="double" w:color="5B9BD5" w:themeColor="accent1"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5B9BD5" w:themeColor="accent1" w:sz="4" w:space="0"/>
          <w:right w:val="single" w:color="5B9BD5" w:themeColor="accent1" w:sz="4" w:space="0"/>
        </w:tcBorders>
      </w:tcPr>
    </w:tblStylePr>
    <w:tblStylePr w:type="band1Horz">
      <w:tcPr>
        <w:tcBorders>
          <w:top w:val="single" w:color="5B9BD5" w:themeColor="accent1" w:sz="4" w:space="0"/>
          <w:bottom w:val="single" w:color="5B9BD5" w:themeColor="accent1"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5B9BD5" w:themeColor="accent1" w:sz="4" w:space="0"/>
          <w:left w:val="nil"/>
        </w:tcBorders>
      </w:tcPr>
    </w:tblStylePr>
    <w:tblStylePr w:type="swCell">
      <w:tcPr>
        <w:tcBorders>
          <w:top w:val="double" w:color="5B9BD5" w:themeColor="accent1" w:sz="4" w:space="0"/>
          <w:right w:val="nil"/>
        </w:tcBorders>
      </w:tcPr>
    </w:tblStylePr>
  </w:style>
  <w:style w:type="paragraph" w:customStyle="1" w:styleId="88">
    <w:name w:val="技术"/>
    <w:basedOn w:val="67"/>
    <w:link w:val="89"/>
    <w:uiPriority w:val="0"/>
    <w:pPr>
      <w:numPr>
        <w:ilvl w:val="0"/>
        <w:numId w:val="8"/>
      </w:numPr>
    </w:pPr>
  </w:style>
  <w:style w:type="character" w:customStyle="1" w:styleId="89">
    <w:name w:val="技术 Char"/>
    <w:basedOn w:val="66"/>
    <w:link w:val="88"/>
    <w:uiPriority w:val="0"/>
    <w:rPr>
      <w:rFonts w:ascii="微软雅黑" w:hAnsi="微软雅黑" w:eastAsia="微软雅黑" w:cs="微软雅黑"/>
      <w:kern w:val="2"/>
      <w:sz w:val="24"/>
      <w:szCs w:val="21"/>
    </w:rPr>
  </w:style>
  <w:style w:type="paragraph" w:customStyle="1" w:styleId="90">
    <w:name w:val="CN规则"/>
    <w:basedOn w:val="47"/>
    <w:link w:val="91"/>
    <w:qFormat/>
    <w:uiPriority w:val="0"/>
    <w:pPr>
      <w:numPr>
        <w:ilvl w:val="0"/>
        <w:numId w:val="9"/>
      </w:numPr>
      <w:ind w:left="0" w:firstLine="200"/>
    </w:pPr>
  </w:style>
  <w:style w:type="character" w:customStyle="1" w:styleId="91">
    <w:name w:val="CN规则 Char"/>
    <w:basedOn w:val="49"/>
    <w:link w:val="90"/>
    <w:autoRedefine/>
    <w:qFormat/>
    <w:uiPriority w:val="0"/>
    <w:rPr>
      <w:rFonts w:ascii="思源黑体 CN Regular" w:hAnsi="思源黑体 CN Regular" w:eastAsia="思源黑体 CN Regular" w:cs="Arial"/>
      <w:kern w:val="2"/>
      <w:sz w:val="24"/>
      <w:szCs w:val="21"/>
      <w:lang w:val="en-GB"/>
      <w14:scene3d>
        <w14:lightRig w14:rig="threePt" w14:dir="t">
          <w14:rot w14:lat="0" w14:lon="0" w14:rev="0"/>
        </w14:lightRig>
      </w14:scene3d>
    </w:rPr>
  </w:style>
  <w:style w:type="character" w:customStyle="1" w:styleId="92">
    <w:name w:val="Unresolved Mention"/>
    <w:basedOn w:val="19"/>
    <w:autoRedefine/>
    <w:semiHidden/>
    <w:unhideWhenUsed/>
    <w:qFormat/>
    <w:uiPriority w:val="99"/>
    <w:rPr>
      <w:color w:val="605E5C"/>
      <w:shd w:val="clear" w:color="auto" w:fill="E1DFDD"/>
    </w:rPr>
  </w:style>
  <w:style w:type="paragraph" w:customStyle="1" w:styleId="93">
    <w:name w:val="E01"/>
    <w:basedOn w:val="1"/>
    <w:link w:val="94"/>
    <w:autoRedefine/>
    <w:qFormat/>
    <w:uiPriority w:val="0"/>
    <w:pPr>
      <w:numPr>
        <w:ilvl w:val="0"/>
        <w:numId w:val="10"/>
      </w:numPr>
      <w:spacing w:line="420" w:lineRule="exact"/>
      <w:ind w:left="0" w:firstLine="200" w:firstLineChars="200"/>
    </w:pPr>
    <w:rPr>
      <w:sz w:val="24"/>
    </w:rPr>
  </w:style>
  <w:style w:type="character" w:customStyle="1" w:styleId="94">
    <w:name w:val="E01 字符"/>
    <w:basedOn w:val="32"/>
    <w:link w:val="93"/>
    <w:autoRedefine/>
    <w:qFormat/>
    <w:uiPriority w:val="0"/>
    <w:rPr>
      <w:rFonts w:ascii="思源黑体 CN Regular" w:hAnsi="思源黑体 CN Regular" w:eastAsia="思源黑体 CN Regular" w:cs="微软雅黑"/>
      <w:color w:val="000000" w:themeColor="text1"/>
      <w:kern w:val="2"/>
      <w:sz w:val="24"/>
      <w:szCs w:val="22"/>
      <w14:textFill>
        <w14:solidFill>
          <w14:schemeClr w14:val="tx1"/>
        </w14:solidFill>
      </w14:textFill>
    </w:rPr>
  </w:style>
  <w:style w:type="character" w:styleId="95">
    <w:name w:val="Placeholder Text"/>
    <w:basedOn w:val="19"/>
    <w:autoRedefine/>
    <w:semiHidden/>
    <w:qFormat/>
    <w:uiPriority w:val="99"/>
    <w:rPr>
      <w:color w:val="808080"/>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7.emf"/><Relationship Id="rId22" Type="http://schemas.openxmlformats.org/officeDocument/2006/relationships/image" Target="media/image16.png"/><Relationship Id="rId21" Type="http://schemas.openxmlformats.org/officeDocument/2006/relationships/image" Target="media/image15.jpe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120"/>
    <customShpInfo spid="_x0000_s2074"/>
    <customShpInfo spid="_x0000_s2119"/>
    <customShpInfo spid="_x0000_s2057"/>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489726B-54C0-4AFB-85B5-7CA8CBF52448}">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13</Pages>
  <Words>2019</Words>
  <Characters>11511</Characters>
  <Lines>95</Lines>
  <Paragraphs>27</Paragraphs>
  <TotalTime>18</TotalTime>
  <ScaleCrop>false</ScaleCrop>
  <LinksUpToDate>false</LinksUpToDate>
  <CharactersWithSpaces>13503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2023-12-22T02:23:00Z</dcterms:created>
  <dc:creator>MakeX组委会</dc:creator>
  <cp:keywords>MakeX组委会</cp:keywords>
  <cp:lastModifiedBy>任利军</cp:lastModifiedBy>
  <cp:lastPrinted>2024-01-18T01:21:00Z</cp:lastPrinted>
  <dcterms:modified xsi:type="dcterms:W3CDTF">2024-05-09T07:42:31Z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532F7DE200FF47D3829ACEF2EA22614F_12</vt:lpwstr>
  </property>
</Properties>
</file>