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36"/>
        <w:numPr>
          <w:ilvl w:val="0"/>
          <w:numId w:val="0"/>
        </w:numPr>
        <w:spacing w:line="240" w:lineRule="auto"/>
        <w:ind w:leftChars="0"/>
      </w:pPr>
      <w:bookmarkStart w:id="0" w:name="_Toc149299881"/>
      <w:r>
        <w:rPr>
          <w:color w:val="auto"/>
        </w:rPr>
        <w:t>MakeX Starter</w:t>
      </w:r>
      <w:r>
        <w:rPr>
          <w:rFonts w:hint="eastAsia"/>
          <w:color w:val="auto"/>
          <w:lang w:val="en-US" w:eastAsia="zh-CN"/>
        </w:rPr>
        <w:t xml:space="preserve"> </w:t>
      </w:r>
      <w:r>
        <w:rPr>
          <w:rFonts w:hint="eastAsia"/>
          <w:color w:val="auto"/>
          <w:lang w:eastAsia="zh-CN"/>
        </w:rPr>
        <w:t>——</w:t>
      </w:r>
      <w:r>
        <w:rPr>
          <w:rFonts w:hint="eastAsia"/>
          <w:color w:val="auto"/>
          <w:lang w:val="en-US" w:eastAsia="zh-CN"/>
        </w:rPr>
        <w:t xml:space="preserve"> </w:t>
      </w:r>
      <w:r>
        <w:rPr>
          <w:rFonts w:hint="eastAsia"/>
          <w:color w:val="auto"/>
        </w:rPr>
        <w:t>全芯征途</w:t>
      </w:r>
      <w:r>
        <w:rPr>
          <w:rFonts w:hint="eastAsia"/>
          <w:color w:val="auto"/>
          <w:lang w:val="en-US" w:eastAsia="zh-CN"/>
        </w:rPr>
        <w:t xml:space="preserve">  小学组</w:t>
      </w:r>
    </w:p>
    <w:p>
      <w:pPr>
        <w:pStyle w:val="36"/>
        <w:spacing w:line="240" w:lineRule="auto"/>
      </w:pPr>
      <w:r>
        <w:rPr>
          <w:rFonts w:hint="eastAsia"/>
        </w:rPr>
        <w:t>比赛内容</w:t>
      </w:r>
      <w:bookmarkEnd w:id="0"/>
    </w:p>
    <w:p>
      <w:pPr>
        <w:pStyle w:val="30"/>
        <w:rPr>
          <w:color w:val="auto"/>
        </w:rPr>
      </w:pPr>
      <w:bookmarkStart w:id="1" w:name="_Hlk80283808"/>
      <w:r>
        <w:rPr>
          <w:color w:val="auto"/>
        </w:rPr>
        <w:t>2024赛季MakeX Starter的比赛主题为《</w:t>
      </w:r>
      <w:r>
        <w:rPr>
          <w:rFonts w:hint="eastAsia"/>
          <w:color w:val="auto"/>
        </w:rPr>
        <w:t>全芯征途</w:t>
      </w:r>
      <w:r>
        <w:rPr>
          <w:color w:val="auto"/>
        </w:rPr>
        <w:t>》。</w:t>
      </w:r>
    </w:p>
    <w:p>
      <w:pPr>
        <w:pStyle w:val="30"/>
        <w:rPr>
          <w:color w:val="auto"/>
        </w:rPr>
      </w:pPr>
      <w:r>
        <w:rPr>
          <w:rFonts w:hint="eastAsia"/>
          <w:color w:val="auto"/>
        </w:rPr>
        <w:t>传统制造业耗费大量人力物力，造成众多废弃物排放，甚至导致污染环境。搭载先进技术的芯片是制造业变革的技术主导，将极大地提升制造效率、降低制造成本，提升制造的智能化、便利化，少年们敏锐洞察到智能制造的先机和改良，决心探芯寻宝，共赴全芯征途，为未来的智能制造贡献芯力量，促进智能制造行业的可持续发展。</w:t>
      </w:r>
    </w:p>
    <w:bookmarkEnd w:id="1"/>
    <w:p>
      <w:pPr>
        <w:pStyle w:val="33"/>
        <w:spacing w:line="420" w:lineRule="exact"/>
      </w:pPr>
      <w:bookmarkStart w:id="2" w:name="_Toc149299882"/>
      <w:r>
        <w:rPr>
          <w:rFonts w:hint="eastAsia"/>
        </w:rPr>
        <w:t>玩法简介</w:t>
      </w:r>
      <w:bookmarkEnd w:id="2"/>
    </w:p>
    <w:p>
      <w:pPr>
        <w:pStyle w:val="30"/>
        <w:rPr>
          <w:color w:val="auto"/>
        </w:rPr>
      </w:pPr>
      <w:r>
        <w:rPr>
          <w:color w:val="auto"/>
        </w:rPr>
        <w:t>MakeX Starter为多任务类赛项，比赛由红蓝双方</w:t>
      </w:r>
      <w:r>
        <w:rPr>
          <w:rFonts w:hint="eastAsia"/>
          <w:color w:val="auto"/>
          <w:lang w:val="en-US" w:eastAsia="zh-CN"/>
        </w:rPr>
        <w:t>2支战队</w:t>
      </w:r>
      <w:r>
        <w:rPr>
          <w:color w:val="auto"/>
        </w:rPr>
        <w:t>结成联盟合作完成</w:t>
      </w:r>
      <w:r>
        <w:rPr>
          <w:rFonts w:hint="eastAsia"/>
          <w:color w:val="auto"/>
          <w:lang w:eastAsia="zh-CN"/>
        </w:rPr>
        <w:t>（</w:t>
      </w:r>
      <w:r>
        <w:rPr>
          <w:rFonts w:hint="eastAsia"/>
          <w:color w:val="auto"/>
          <w:lang w:val="en-US" w:eastAsia="zh-CN"/>
        </w:rPr>
        <w:t>2人/队伍</w:t>
      </w:r>
      <w:bookmarkStart w:id="29" w:name="_GoBack"/>
      <w:bookmarkEnd w:id="29"/>
      <w:r>
        <w:rPr>
          <w:rFonts w:hint="eastAsia"/>
          <w:color w:val="auto"/>
          <w:lang w:eastAsia="zh-CN"/>
        </w:rPr>
        <w:t>）</w:t>
      </w:r>
      <w:r>
        <w:rPr>
          <w:color w:val="auto"/>
        </w:rPr>
        <w:t>。</w:t>
      </w:r>
    </w:p>
    <w:p>
      <w:pPr>
        <w:pStyle w:val="30"/>
        <w:rPr>
          <w:color w:val="auto"/>
        </w:rPr>
      </w:pPr>
      <w:r>
        <w:rPr>
          <w:rFonts w:hint="eastAsia"/>
          <w:color w:val="auto"/>
        </w:rPr>
        <w:t>比赛总时长为</w:t>
      </w:r>
      <w:r>
        <w:rPr>
          <w:color w:val="auto"/>
        </w:rPr>
        <w:t>4分钟，由自动控制阶段和手动控制阶段两部分组成，各阶段时长由联盟双方协商决定</w:t>
      </w:r>
      <w:r>
        <w:rPr>
          <w:rFonts w:hint="eastAsia"/>
          <w:color w:val="auto"/>
        </w:rPr>
        <w:t>，比赛共有2个计分时刻。</w:t>
      </w:r>
      <w:r>
        <w:rPr>
          <w:color w:val="auto"/>
        </w:rPr>
        <w:t>战队需要在自动控制阶段完成自动任务，</w:t>
      </w:r>
      <w:r>
        <w:rPr>
          <w:rFonts w:hint="eastAsia"/>
          <w:color w:val="auto"/>
        </w:rPr>
        <w:t>联盟双方均同意由自动控制</w:t>
      </w:r>
      <w:r>
        <w:rPr>
          <w:color w:val="auto"/>
        </w:rPr>
        <w:t>阶段</w:t>
      </w:r>
      <w:r>
        <w:rPr>
          <w:rFonts w:hint="eastAsia"/>
          <w:color w:val="auto"/>
        </w:rPr>
        <w:t>向手动控制阶段</w:t>
      </w:r>
      <w:r>
        <w:rPr>
          <w:color w:val="auto"/>
        </w:rPr>
        <w:t>切换后，</w:t>
      </w:r>
      <w:r>
        <w:rPr>
          <w:rFonts w:hint="eastAsia"/>
          <w:color w:val="auto"/>
        </w:rPr>
        <w:t>裁判将暂停计时，进入到自动控制阶段的计分时刻，计分结束后，开始手动控制阶段，战队需</w:t>
      </w:r>
      <w:r>
        <w:rPr>
          <w:color w:val="auto"/>
        </w:rPr>
        <w:t>在手动控制阶段完成手动任务。</w:t>
      </w:r>
      <w:r>
        <w:rPr>
          <w:rFonts w:hint="eastAsia"/>
          <w:color w:val="auto"/>
        </w:rPr>
        <w:t>全场</w:t>
      </w:r>
      <w:r>
        <w:rPr>
          <w:color w:val="auto"/>
        </w:rPr>
        <w:t>比赛结束后，</w:t>
      </w:r>
      <w:r>
        <w:rPr>
          <w:rFonts w:hint="eastAsia"/>
          <w:color w:val="auto"/>
        </w:rPr>
        <w:t>进入手动控制阶段的计分</w:t>
      </w:r>
      <w:r>
        <w:drawing>
          <wp:anchor distT="0" distB="0" distL="114300" distR="114300" simplePos="0" relativeHeight="251683840" behindDoc="0" locked="0" layoutInCell="1" allowOverlap="1">
            <wp:simplePos x="0" y="0"/>
            <wp:positionH relativeFrom="margin">
              <wp:align>center</wp:align>
            </wp:positionH>
            <wp:positionV relativeFrom="paragraph">
              <wp:posOffset>379095</wp:posOffset>
            </wp:positionV>
            <wp:extent cx="3830955" cy="2764155"/>
            <wp:effectExtent l="0" t="0" r="0" b="0"/>
            <wp:wrapTopAndBottom/>
            <wp:docPr id="2" name="Draw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rawing 1"/>
                    <pic:cNvPicPr>
                      <a:picLocks noChangeAspect="1"/>
                    </pic:cNvPicPr>
                  </pic:nvPicPr>
                  <pic:blipFill>
                    <a:blip r:embed="rId12" cstate="print">
                      <a:extLst>
                        <a:ext uri="{28A0092B-C50C-407E-A947-70E740481C1C}">
                          <a14:useLocalDpi xmlns:a14="http://schemas.microsoft.com/office/drawing/2010/main" val="0"/>
                        </a:ext>
                      </a:extLst>
                    </a:blip>
                    <a:srcRect l="10780" t="11711" r="10966" b="11639"/>
                    <a:stretch>
                      <a:fillRect/>
                    </a:stretch>
                  </pic:blipFill>
                  <pic:spPr>
                    <a:xfrm>
                      <a:off x="0" y="0"/>
                      <a:ext cx="3830955" cy="2764155"/>
                    </a:xfrm>
                    <a:prstGeom prst="rect">
                      <a:avLst/>
                    </a:prstGeom>
                    <a:ln>
                      <a:noFill/>
                    </a:ln>
                  </pic:spPr>
                </pic:pic>
              </a:graphicData>
            </a:graphic>
          </wp:anchor>
        </w:drawing>
      </w:r>
      <w:r>
        <w:rPr>
          <w:rFonts w:hint="eastAsia"/>
          <w:color w:val="auto"/>
        </w:rPr>
        <w:t>时刻，裁判将</w:t>
      </w:r>
      <w:r>
        <w:rPr>
          <w:color w:val="auto"/>
        </w:rPr>
        <w:t>根据计分时刻各道具的最终状态计算双方各项任务得分。</w:t>
      </w:r>
    </w:p>
    <w:p>
      <w:pPr>
        <w:pStyle w:val="30"/>
        <w:jc w:val="center"/>
        <w:rPr>
          <w:color w:val="auto"/>
        </w:rPr>
      </w:pPr>
      <w:r>
        <w:rPr>
          <w:rFonts w:hint="eastAsia"/>
          <w:bCs/>
          <w:color w:val="auto"/>
        </w:rPr>
        <w:t>图</w:t>
      </w:r>
      <w:r>
        <w:rPr>
          <w:rFonts w:hint="eastAsia"/>
          <w:bCs/>
          <w:color w:val="auto"/>
          <w:lang w:val="en-US" w:eastAsia="zh-CN"/>
        </w:rPr>
        <w:t>1</w:t>
      </w:r>
      <w:r>
        <w:rPr>
          <w:bCs/>
          <w:color w:val="auto"/>
        </w:rPr>
        <w:t xml:space="preserve">.1 </w:t>
      </w:r>
      <w:r>
        <w:rPr>
          <w:rFonts w:hint="eastAsia"/>
          <w:bCs/>
          <w:color w:val="auto"/>
        </w:rPr>
        <w:t>比赛场地轴测图4</w:t>
      </w:r>
      <w:r>
        <w:rPr>
          <w:bCs/>
          <w:color w:val="auto"/>
        </w:rPr>
        <w:t>5</w:t>
      </w:r>
      <w:r>
        <w:rPr>
          <w:rFonts w:hint="eastAsia"/>
          <w:bCs/>
          <w:color w:val="auto"/>
        </w:rPr>
        <w:t>°</w:t>
      </w:r>
    </w:p>
    <w:p>
      <w:pPr>
        <w:pStyle w:val="33"/>
      </w:pPr>
      <w:bookmarkStart w:id="3" w:name="_Toc149299883"/>
      <w:r>
        <w:rPr>
          <w:rFonts w:hint="eastAsia"/>
        </w:rPr>
        <w:t>场地说明</w:t>
      </w:r>
      <w:bookmarkEnd w:id="3"/>
    </w:p>
    <w:p>
      <w:pPr>
        <w:pStyle w:val="30"/>
        <w:wordWrap w:val="0"/>
        <w:rPr>
          <w:color w:val="auto"/>
        </w:rPr>
      </w:pPr>
      <w:r>
        <w:rPr>
          <w:rFonts w:eastAsia="思源黑体 CN Heavy"/>
        </w:rPr>
        <w:t>MakeX Starter</w:t>
      </w:r>
      <w:r>
        <w:rPr>
          <w:color w:val="auto"/>
        </w:rPr>
        <w:t>比赛场地由地图和边框组成，场地边框内尺寸为2317mm*2317mm，场地外边框尺寸为2372mm*2372mm。</w:t>
      </w:r>
    </w:p>
    <w:p>
      <w:pPr>
        <w:pStyle w:val="30"/>
        <w:wordWrap w:val="0"/>
        <w:jc w:val="left"/>
        <w:rPr>
          <w:color w:val="auto"/>
        </w:rPr>
      </w:pPr>
      <w:r>
        <w:rPr>
          <w:color w:val="auto"/>
        </w:rPr>
        <w:drawing>
          <wp:anchor distT="0" distB="0" distL="114300" distR="114300" simplePos="0" relativeHeight="251691008" behindDoc="0" locked="0" layoutInCell="1" allowOverlap="1">
            <wp:simplePos x="0" y="0"/>
            <wp:positionH relativeFrom="margin">
              <wp:align>center</wp:align>
            </wp:positionH>
            <wp:positionV relativeFrom="paragraph">
              <wp:posOffset>630555</wp:posOffset>
            </wp:positionV>
            <wp:extent cx="2992120" cy="2896870"/>
            <wp:effectExtent l="0" t="0" r="0" b="0"/>
            <wp:wrapTopAndBottom/>
            <wp:docPr id="8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2"/>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92120" cy="2896870"/>
                    </a:xfrm>
                    <a:prstGeom prst="rect">
                      <a:avLst/>
                    </a:prstGeom>
                  </pic:spPr>
                </pic:pic>
              </a:graphicData>
            </a:graphic>
          </wp:anchor>
        </w:drawing>
      </w:r>
      <w:r>
        <w:rPr>
          <w:rFonts w:hint="eastAsia"/>
          <w:color w:val="auto"/>
        </w:rPr>
        <w:t>比赛地图分为自动任务区</w:t>
      </w:r>
      <w:r>
        <w:rPr>
          <w:color w:val="auto"/>
        </w:rPr>
        <w:t>和手动任务区两个部分，包括启动区、</w:t>
      </w:r>
      <w:r>
        <w:rPr>
          <w:rFonts w:hint="eastAsia"/>
          <w:color w:val="auto"/>
        </w:rPr>
        <w:t>密码填充区、</w:t>
      </w:r>
      <w:r>
        <w:rPr>
          <w:color w:val="auto"/>
        </w:rPr>
        <w:t>标记区、手动装载区等区域</w:t>
      </w:r>
      <w:r>
        <w:rPr>
          <w:rFonts w:hint="eastAsia"/>
          <w:color w:val="auto"/>
        </w:rPr>
        <w:t>。</w:t>
      </w:r>
    </w:p>
    <w:p>
      <w:pPr>
        <w:pStyle w:val="30"/>
        <w:wordWrap w:val="0"/>
        <w:jc w:val="center"/>
        <w:rPr>
          <w:color w:val="auto"/>
        </w:rPr>
      </w:pPr>
      <w:r>
        <w:rPr>
          <w:rFonts w:hint="eastAsia"/>
          <w:bCs/>
          <w:color w:val="auto"/>
        </w:rPr>
        <w:t>图</w:t>
      </w:r>
      <w:r>
        <w:rPr>
          <w:rFonts w:hint="eastAsia"/>
          <w:bCs/>
          <w:color w:val="auto"/>
          <w:lang w:val="en-US" w:eastAsia="zh-CN"/>
        </w:rPr>
        <w:t>1</w:t>
      </w:r>
      <w:r>
        <w:rPr>
          <w:bCs/>
          <w:color w:val="auto"/>
        </w:rPr>
        <w:t xml:space="preserve">.2-1 </w:t>
      </w:r>
      <w:r>
        <w:rPr>
          <w:rFonts w:hint="eastAsia"/>
          <w:bCs/>
          <w:color w:val="auto"/>
        </w:rPr>
        <w:t>场地区域</w:t>
      </w:r>
      <w:r>
        <w:rPr>
          <w:bCs/>
          <w:color w:val="auto"/>
        </w:rPr>
        <w:t>划分</w:t>
      </w:r>
      <w:r>
        <w:rPr>
          <w:rFonts w:hint="eastAsia"/>
          <w:bCs/>
          <w:color w:val="auto"/>
        </w:rPr>
        <w:t>示意图</w:t>
      </w:r>
    </w:p>
    <w:p>
      <w:pPr>
        <w:pStyle w:val="63"/>
        <w:spacing w:line="240" w:lineRule="exact"/>
        <w:ind w:firstLine="480" w:firstLineChars="200"/>
        <w:rPr>
          <w:rFonts w:ascii="思源黑体 CN Regular" w:hAnsi="思源黑体 CN Regular" w:eastAsia="思源黑体 CN Regular"/>
          <w:b w:val="0"/>
          <w:color w:val="000000" w:themeColor="text1"/>
          <w:lang w:bidi="ar"/>
          <w14:textFill>
            <w14:solidFill>
              <w14:schemeClr w14:val="tx1"/>
            </w14:solidFill>
          </w14:textFill>
        </w:rPr>
      </w:pPr>
      <w:r>
        <w:rPr>
          <w:rFonts w:hint="eastAsia" w:ascii="思源黑体 CN Regular" w:hAnsi="思源黑体 CN Regular" w:eastAsia="思源黑体 CN Regular"/>
          <w:b w:val="0"/>
          <w:color w:val="000000" w:themeColor="text1"/>
          <w:lang w:bidi="ar"/>
          <w14:textFill>
            <w14:solidFill>
              <w14:schemeClr w14:val="tx1"/>
            </w14:solidFill>
          </w14:textFill>
        </w:rPr>
        <w:t>以下为主要区域说明：</w:t>
      </w:r>
    </w:p>
    <w:p>
      <w:pPr>
        <w:pStyle w:val="63"/>
      </w:pPr>
      <w:r>
        <w:rPr>
          <w:rFonts w:hint="eastAsia"/>
        </w:rPr>
        <w:t>启动区</w:t>
      </w:r>
    </w:p>
    <w:p>
      <w:pPr>
        <w:pStyle w:val="63"/>
        <w:ind w:firstLine="442" w:firstLineChars="200"/>
        <w:rPr>
          <w:rFonts w:ascii="思源黑体 CN Regular" w:hAnsi="思源黑体 CN Regular" w:eastAsia="思源黑体 CN Regular"/>
          <w:b w:val="0"/>
          <w:color w:val="000000" w:themeColor="text1"/>
          <w:lang w:bidi="ar"/>
          <w14:textFill>
            <w14:solidFill>
              <w14:schemeClr w14:val="tx1"/>
            </w14:solidFill>
          </w14:textFill>
        </w:rPr>
      </w:pPr>
      <w:r>
        <w:rPr>
          <w:rFonts w:ascii="Times New Roman" w:hAnsi="Times New Roman" w:eastAsia="宋体" w:cs="Times New Roman"/>
          <w:sz w:val="22"/>
        </w:rPr>
        <w:drawing>
          <wp:anchor distT="180340" distB="180340" distL="114300" distR="114300" simplePos="0" relativeHeight="251692032" behindDoc="0" locked="0" layoutInCell="1" allowOverlap="1">
            <wp:simplePos x="0" y="0"/>
            <wp:positionH relativeFrom="margin">
              <wp:posOffset>963930</wp:posOffset>
            </wp:positionH>
            <wp:positionV relativeFrom="paragraph">
              <wp:posOffset>702945</wp:posOffset>
            </wp:positionV>
            <wp:extent cx="3345815" cy="1296035"/>
            <wp:effectExtent l="0" t="0" r="0" b="0"/>
            <wp:wrapTopAndBottom/>
            <wp:docPr id="89" name="Picture 6"/>
            <wp:cNvGraphicFramePr/>
            <a:graphic xmlns:a="http://schemas.openxmlformats.org/drawingml/2006/main">
              <a:graphicData uri="http://schemas.openxmlformats.org/drawingml/2006/picture">
                <pic:pic xmlns:pic="http://schemas.openxmlformats.org/drawingml/2006/picture">
                  <pic:nvPicPr>
                    <pic:cNvPr id="89" name="Picture 6"/>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345815" cy="1295866"/>
                    </a:xfrm>
                    <a:prstGeom prst="rect">
                      <a:avLst/>
                    </a:prstGeom>
                  </pic:spPr>
                </pic:pic>
              </a:graphicData>
            </a:graphic>
          </wp:anchor>
        </w:drawing>
      </w:r>
      <w:r>
        <w:rPr>
          <w:rFonts w:hint="eastAsia" w:ascii="思源黑体 CN Regular" w:hAnsi="思源黑体 CN Regular" w:eastAsia="思源黑体 CN Regular"/>
          <w:b w:val="0"/>
          <w:color w:val="000000" w:themeColor="text1"/>
          <w:lang w:bidi="ar"/>
          <w14:textFill>
            <w14:solidFill>
              <w14:schemeClr w14:val="tx1"/>
            </w14:solidFill>
          </w14:textFill>
        </w:rPr>
        <w:t>自动任务区内各有红蓝启动区一个，为边长</w:t>
      </w:r>
      <w:r>
        <w:rPr>
          <w:rFonts w:ascii="思源黑体 CN Regular" w:hAnsi="思源黑体 CN Regular" w:eastAsia="思源黑体 CN Regular"/>
          <w:b w:val="0"/>
          <w:color w:val="000000" w:themeColor="text1"/>
          <w:lang w:bidi="ar"/>
          <w14:textFill>
            <w14:solidFill>
              <w14:schemeClr w14:val="tx1"/>
            </w14:solidFill>
          </w14:textFill>
        </w:rPr>
        <w:t xml:space="preserve"> 280mm 的正方形</w:t>
      </w:r>
      <w:r>
        <w:rPr>
          <w:rFonts w:hint="eastAsia" w:ascii="思源黑体 CN Regular" w:hAnsi="思源黑体 CN Regular" w:eastAsia="思源黑体 CN Regular"/>
          <w:b w:val="0"/>
          <w:color w:val="000000" w:themeColor="text1"/>
          <w:lang w:bidi="ar"/>
          <w14:textFill>
            <w14:solidFill>
              <w14:schemeClr w14:val="tx1"/>
            </w14:solidFill>
          </w14:textFill>
        </w:rPr>
        <w:t>。</w:t>
      </w:r>
    </w:p>
    <w:p>
      <w:pPr>
        <w:pStyle w:val="30"/>
        <w:spacing w:after="156" w:afterLines="50"/>
        <w:ind w:firstLine="0"/>
        <w:jc w:val="center"/>
        <w:rPr>
          <w:bCs/>
          <w:color w:val="auto"/>
        </w:rPr>
      </w:pPr>
      <w:r>
        <w:rPr>
          <w:rFonts w:hint="eastAsia"/>
          <w:bCs/>
          <w:color w:val="auto"/>
        </w:rPr>
        <w:t>图</w:t>
      </w:r>
      <w:r>
        <w:rPr>
          <w:rFonts w:hint="eastAsia"/>
          <w:bCs/>
          <w:color w:val="auto"/>
          <w:lang w:val="en-US" w:eastAsia="zh-CN"/>
        </w:rPr>
        <w:t>1</w:t>
      </w:r>
      <w:r>
        <w:rPr>
          <w:bCs/>
          <w:color w:val="auto"/>
        </w:rPr>
        <w:t xml:space="preserve">.2-2 </w:t>
      </w:r>
      <w:r>
        <w:rPr>
          <w:rFonts w:hint="eastAsia"/>
          <w:bCs/>
          <w:color w:val="auto"/>
        </w:rPr>
        <w:t>自动任务区启动区示意图</w:t>
      </w:r>
    </w:p>
    <w:p>
      <w:pPr>
        <w:ind w:firstLine="480" w:firstLineChars="200"/>
        <w:jc w:val="left"/>
        <w:rPr>
          <w:rFonts w:cs="微软雅黑"/>
          <w:color w:val="000000" w:themeColor="text1"/>
          <w:sz w:val="24"/>
          <w:szCs w:val="21"/>
          <w:lang w:bidi="ar"/>
          <w14:textFill>
            <w14:solidFill>
              <w14:schemeClr w14:val="tx1"/>
            </w14:solidFill>
          </w14:textFill>
        </w:rPr>
      </w:pPr>
      <w:bookmarkStart w:id="4" w:name="_Hlk155444965"/>
      <w:r>
        <w:rPr>
          <w:rFonts w:cs="微软雅黑"/>
          <w:color w:val="000000" w:themeColor="text1"/>
          <w:sz w:val="24"/>
          <w:szCs w:val="21"/>
          <w:lang w:bidi="ar"/>
          <w14:textFill>
            <w14:solidFill>
              <w14:schemeClr w14:val="tx1"/>
            </w14:solidFill>
          </w14:textFill>
        </w:rPr>
        <w:t>手动任务区内各有红蓝启动区一个</w:t>
      </w:r>
      <w:bookmarkEnd w:id="4"/>
      <w:r>
        <w:rPr>
          <w:rFonts w:cs="微软雅黑"/>
          <w:color w:val="000000" w:themeColor="text1"/>
          <w:sz w:val="24"/>
          <w:szCs w:val="21"/>
          <w:lang w:bidi="ar"/>
          <w14:textFill>
            <w14:solidFill>
              <w14:schemeClr w14:val="tx1"/>
            </w14:solidFill>
          </w14:textFill>
        </w:rPr>
        <w:t>，为边长 280mm 的正方形。</w:t>
      </w:r>
      <w:r>
        <w:rPr>
          <w:rFonts w:ascii="Times New Roman" w:hAnsi="Times New Roman" w:eastAsia="宋体" w:cs="Times New Roman"/>
          <w:sz w:val="22"/>
        </w:rPr>
        <w:drawing>
          <wp:anchor distT="180340" distB="180340" distL="114300" distR="114300" simplePos="0" relativeHeight="251693056" behindDoc="0" locked="0" layoutInCell="1" allowOverlap="1">
            <wp:simplePos x="0" y="0"/>
            <wp:positionH relativeFrom="margin">
              <wp:posOffset>760095</wp:posOffset>
            </wp:positionH>
            <wp:positionV relativeFrom="page">
              <wp:posOffset>1282700</wp:posOffset>
            </wp:positionV>
            <wp:extent cx="3344545" cy="1295400"/>
            <wp:effectExtent l="0" t="0" r="0" b="0"/>
            <wp:wrapTopAndBottom/>
            <wp:docPr id="90" name="Picture 6"/>
            <wp:cNvGraphicFramePr/>
            <a:graphic xmlns:a="http://schemas.openxmlformats.org/drawingml/2006/main">
              <a:graphicData uri="http://schemas.openxmlformats.org/drawingml/2006/picture">
                <pic:pic xmlns:pic="http://schemas.openxmlformats.org/drawingml/2006/picture">
                  <pic:nvPicPr>
                    <pic:cNvPr id="90" name="Picture 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344400" cy="1295318"/>
                    </a:xfrm>
                    <a:prstGeom prst="rect">
                      <a:avLst/>
                    </a:prstGeom>
                  </pic:spPr>
                </pic:pic>
              </a:graphicData>
            </a:graphic>
          </wp:anchor>
        </w:drawing>
      </w:r>
    </w:p>
    <w:p>
      <w:pPr>
        <w:ind w:firstLine="480" w:firstLineChars="200"/>
        <w:jc w:val="left"/>
        <w:rPr>
          <w:rFonts w:cs="微软雅黑"/>
          <w:color w:val="000000" w:themeColor="text1"/>
          <w:sz w:val="24"/>
          <w:szCs w:val="21"/>
          <w:lang w:bidi="ar"/>
          <w14:textFill>
            <w14:solidFill>
              <w14:schemeClr w14:val="tx1"/>
            </w14:solidFill>
          </w14:textFill>
        </w:rPr>
      </w:pPr>
    </w:p>
    <w:p>
      <w:pPr>
        <w:pStyle w:val="30"/>
        <w:spacing w:after="156" w:afterLines="50"/>
        <w:ind w:firstLine="0"/>
        <w:jc w:val="center"/>
        <w:rPr>
          <w:bCs/>
          <w:color w:val="auto"/>
        </w:rPr>
      </w:pPr>
      <w:r>
        <w:rPr>
          <w:rFonts w:hint="eastAsia"/>
          <w:bCs/>
          <w:color w:val="auto"/>
        </w:rPr>
        <w:t>图</w:t>
      </w:r>
      <w:r>
        <w:rPr>
          <w:rFonts w:hint="eastAsia"/>
          <w:bCs/>
          <w:color w:val="auto"/>
          <w:lang w:val="en-US" w:eastAsia="zh-CN"/>
        </w:rPr>
        <w:t>1</w:t>
      </w:r>
      <w:r>
        <w:rPr>
          <w:bCs/>
          <w:color w:val="auto"/>
        </w:rPr>
        <w:t>.2-3</w:t>
      </w:r>
      <w:r>
        <w:rPr>
          <w:rFonts w:hint="eastAsia"/>
          <w:bCs/>
          <w:color w:val="auto"/>
        </w:rPr>
        <w:t>手动任务区启动区示意图</w:t>
      </w:r>
    </w:p>
    <w:p>
      <w:pPr>
        <w:pStyle w:val="63"/>
      </w:pPr>
      <w:r>
        <w:rPr>
          <w:rFonts w:hint="eastAsia"/>
        </w:rPr>
        <w:t>密码填充区</w:t>
      </w:r>
    </w:p>
    <w:p>
      <w:pPr>
        <w:pStyle w:val="63"/>
        <w:ind w:firstLine="480" w:firstLineChars="200"/>
        <w:rPr>
          <w:rFonts w:ascii="思源黑体 CN Regular" w:hAnsi="思源黑体 CN Regular" w:eastAsia="思源黑体 CN Regular"/>
          <w:b w:val="0"/>
          <w:color w:val="auto"/>
        </w:rPr>
      </w:pPr>
      <w:r>
        <w:rPr>
          <w:rFonts w:hint="eastAsia" w:ascii="思源黑体 CN Regular" w:hAnsi="思源黑体 CN Regular" w:eastAsia="思源黑体 CN Regular"/>
          <w:b w:val="0"/>
          <w:color w:val="auto"/>
        </w:rPr>
        <w:t>密码填充区为图示区域</w:t>
      </w:r>
    </w:p>
    <w:p>
      <w:pPr>
        <w:pStyle w:val="63"/>
        <w:ind w:firstLine="480" w:firstLineChars="200"/>
        <w:rPr>
          <w:rFonts w:ascii="思源黑体 CN Regular" w:hAnsi="思源黑体 CN Regular" w:eastAsia="思源黑体 CN Regular"/>
          <w:b w:val="0"/>
          <w:color w:val="FF0000"/>
        </w:rPr>
      </w:pPr>
      <w:r>
        <w:rPr>
          <w:rFonts w:hint="eastAsia" w:ascii="思源黑体 CN Regular" w:hAnsi="思源黑体 CN Regular" w:eastAsia="思源黑体 CN Regular"/>
          <w:b w:val="0"/>
          <w:color w:val="auto"/>
        </w:rPr>
        <w:t>尺寸：</w:t>
      </w:r>
      <w:r>
        <w:rPr>
          <w:rFonts w:ascii="思源黑体 CN Regular" w:hAnsi="思源黑体 CN Regular" w:eastAsia="思源黑体 CN Regular"/>
          <w:b w:val="0"/>
          <w:color w:val="auto"/>
        </w:rPr>
        <w:t>130</w:t>
      </w:r>
      <w:r>
        <w:rPr>
          <w:rFonts w:hint="eastAsia" w:ascii="思源黑体 CN Regular" w:hAnsi="思源黑体 CN Regular" w:eastAsia="思源黑体 CN Regular"/>
          <w:b w:val="0"/>
          <w:color w:val="auto"/>
        </w:rPr>
        <w:t>mm</w:t>
      </w:r>
      <w:r>
        <w:rPr>
          <w:rFonts w:ascii="思源黑体 CN Regular" w:hAnsi="思源黑体 CN Regular" w:eastAsia="思源黑体 CN Regular"/>
          <w:b w:val="0"/>
          <w:color w:val="auto"/>
        </w:rPr>
        <w:t>*93</w:t>
      </w:r>
      <w:r>
        <w:rPr>
          <w:rFonts w:hint="eastAsia" w:ascii="思源黑体 CN Regular" w:hAnsi="思源黑体 CN Regular" w:eastAsia="思源黑体 CN Regular"/>
          <w:b w:val="0"/>
          <w:color w:val="auto"/>
        </w:rPr>
        <w:t>mm</w:t>
      </w:r>
    </w:p>
    <w:p>
      <w:pPr>
        <w:pStyle w:val="63"/>
        <w:ind w:firstLine="480" w:firstLineChars="200"/>
        <w:rPr>
          <w:rFonts w:ascii="思源黑体 CN Regular" w:hAnsi="思源黑体 CN Regular" w:eastAsia="思源黑体 CN Regular"/>
          <w:b w:val="0"/>
          <w:color w:val="auto"/>
        </w:rPr>
      </w:pPr>
      <w:r>
        <w:rPr>
          <w:rFonts w:hint="eastAsia" w:ascii="思源黑体 CN Regular" w:hAnsi="思源黑体 CN Regular" w:eastAsia="思源黑体 CN Regular"/>
          <w:b w:val="0"/>
          <w:color w:val="auto"/>
        </w:rPr>
        <w:t>位置：自动任务区中央区域T字路口旁</w:t>
      </w:r>
    </w:p>
    <w:p>
      <w:pPr>
        <w:pStyle w:val="63"/>
        <w:ind w:firstLine="482" w:firstLineChars="200"/>
        <w:rPr>
          <w:rFonts w:ascii="思源黑体 CN Regular" w:hAnsi="思源黑体 CN Regular" w:eastAsia="思源黑体 CN Regular"/>
          <w:b w:val="0"/>
          <w:color w:val="auto"/>
        </w:rPr>
      </w:pPr>
      <w:r>
        <w:drawing>
          <wp:anchor distT="0" distB="0" distL="114300" distR="114300" simplePos="0" relativeHeight="251702272" behindDoc="0" locked="0" layoutInCell="1" allowOverlap="1">
            <wp:simplePos x="0" y="0"/>
            <wp:positionH relativeFrom="margin">
              <wp:align>left</wp:align>
            </wp:positionH>
            <wp:positionV relativeFrom="paragraph">
              <wp:posOffset>491490</wp:posOffset>
            </wp:positionV>
            <wp:extent cx="5718810" cy="1115695"/>
            <wp:effectExtent l="0" t="0" r="0" b="8255"/>
            <wp:wrapTopAndBottom/>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5718810" cy="1115695"/>
                    </a:xfrm>
                    <a:prstGeom prst="rect">
                      <a:avLst/>
                    </a:prstGeom>
                  </pic:spPr>
                </pic:pic>
              </a:graphicData>
            </a:graphic>
          </wp:anchor>
        </w:drawing>
      </w:r>
      <w:r>
        <w:rPr>
          <w:rFonts w:hint="eastAsia" w:ascii="思源黑体 CN Regular" w:hAnsi="思源黑体 CN Regular" w:eastAsia="思源黑体 CN Regular"/>
          <w:b w:val="0"/>
          <w:color w:val="auto"/>
        </w:rPr>
        <w:t>数量：红蓝方各一个</w:t>
      </w:r>
    </w:p>
    <w:p>
      <w:pPr>
        <w:pStyle w:val="30"/>
        <w:spacing w:after="156" w:afterLines="50"/>
        <w:ind w:firstLine="0"/>
        <w:jc w:val="center"/>
        <w:rPr>
          <w:bCs/>
          <w:color w:val="auto"/>
        </w:rPr>
      </w:pPr>
      <w:r>
        <w:rPr>
          <w:rFonts w:hint="eastAsia"/>
          <w:bCs/>
          <w:color w:val="auto"/>
        </w:rPr>
        <w:t>图</w:t>
      </w:r>
      <w:r>
        <w:rPr>
          <w:rFonts w:hint="eastAsia"/>
          <w:bCs/>
          <w:color w:val="auto"/>
          <w:lang w:val="en-US" w:eastAsia="zh-CN"/>
        </w:rPr>
        <w:t>1</w:t>
      </w:r>
      <w:r>
        <w:rPr>
          <w:bCs/>
          <w:color w:val="auto"/>
        </w:rPr>
        <w:t>.2-4</w:t>
      </w:r>
      <w:r>
        <w:rPr>
          <w:rFonts w:hint="eastAsia"/>
          <w:bCs/>
          <w:color w:val="auto"/>
        </w:rPr>
        <w:t>密码填充区示意图</w:t>
      </w:r>
    </w:p>
    <w:p>
      <w:pPr>
        <w:pStyle w:val="30"/>
        <w:spacing w:after="156" w:afterLines="50"/>
        <w:ind w:firstLine="0"/>
        <w:jc w:val="center"/>
        <w:rPr>
          <w:bCs/>
          <w:color w:val="auto"/>
        </w:rPr>
      </w:pPr>
    </w:p>
    <w:p>
      <w:pPr>
        <w:pStyle w:val="63"/>
      </w:pPr>
      <w:r>
        <w:t>手动</w:t>
      </w:r>
      <w:r>
        <w:rPr>
          <w:rFonts w:hint="eastAsia"/>
        </w:rPr>
        <w:t>装载区</w:t>
      </w:r>
    </w:p>
    <w:p>
      <w:pPr>
        <w:pStyle w:val="63"/>
        <w:ind w:firstLine="480" w:firstLineChars="200"/>
        <w:rPr>
          <w:rFonts w:ascii="思源黑体 CN Regular" w:hAnsi="思源黑体 CN Regular" w:eastAsia="思源黑体 CN Regular"/>
          <w:b w:val="0"/>
          <w:color w:val="auto"/>
        </w:rPr>
      </w:pPr>
      <w:r>
        <w:rPr>
          <w:rFonts w:hint="eastAsia" w:ascii="思源黑体 CN Regular" w:hAnsi="思源黑体 CN Regular" w:eastAsia="思源黑体 CN Regular"/>
          <w:b w:val="0"/>
          <w:color w:val="auto"/>
        </w:rPr>
        <w:t>手动装载区为图示绿色区域。</w:t>
      </w:r>
    </w:p>
    <w:p>
      <w:pPr>
        <w:pStyle w:val="63"/>
        <w:ind w:firstLine="480" w:firstLineChars="200"/>
        <w:rPr>
          <w:rFonts w:ascii="思源黑体 CN Regular" w:hAnsi="思源黑体 CN Regular" w:eastAsia="思源黑体 CN Regular"/>
          <w:b w:val="0"/>
          <w:color w:val="FF0000"/>
        </w:rPr>
      </w:pPr>
      <w:r>
        <w:rPr>
          <w:rFonts w:hint="eastAsia" w:ascii="思源黑体 CN Regular" w:hAnsi="思源黑体 CN Regular" w:eastAsia="思源黑体 CN Regular"/>
          <w:b w:val="0"/>
          <w:color w:val="auto"/>
        </w:rPr>
        <w:t>尺寸：</w:t>
      </w:r>
      <w:bookmarkStart w:id="5" w:name="_Hlk155445001"/>
      <w:r>
        <w:rPr>
          <w:rFonts w:hint="eastAsia" w:ascii="思源黑体 CN Regular" w:hAnsi="思源黑体 CN Regular" w:eastAsia="思源黑体 CN Regular"/>
          <w:b w:val="0"/>
          <w:color w:val="auto"/>
        </w:rPr>
        <w:t>长5</w:t>
      </w:r>
      <w:r>
        <w:rPr>
          <w:rFonts w:ascii="思源黑体 CN Regular" w:hAnsi="思源黑体 CN Regular" w:eastAsia="思源黑体 CN Regular"/>
          <w:b w:val="0"/>
          <w:color w:val="auto"/>
        </w:rPr>
        <w:t>50</w:t>
      </w:r>
      <w:r>
        <w:rPr>
          <w:rFonts w:hint="eastAsia" w:ascii="思源黑体 CN Regular" w:hAnsi="思源黑体 CN Regular" w:eastAsia="思源黑体 CN Regular"/>
          <w:b w:val="0"/>
          <w:color w:val="auto"/>
        </w:rPr>
        <w:t>mm</w:t>
      </w:r>
      <w:r>
        <w:rPr>
          <w:rFonts w:ascii="思源黑体 CN Regular" w:hAnsi="思源黑体 CN Regular" w:eastAsia="思源黑体 CN Regular"/>
          <w:b w:val="0"/>
          <w:color w:val="auto"/>
        </w:rPr>
        <w:t>*</w:t>
      </w:r>
      <w:r>
        <w:rPr>
          <w:rFonts w:hint="eastAsia" w:ascii="思源黑体 CN Regular" w:hAnsi="思源黑体 CN Regular" w:eastAsia="思源黑体 CN Regular"/>
          <w:b w:val="0"/>
          <w:color w:val="auto"/>
        </w:rPr>
        <w:t>宽</w:t>
      </w:r>
      <w:r>
        <w:rPr>
          <w:rFonts w:ascii="思源黑体 CN Regular" w:hAnsi="思源黑体 CN Regular" w:eastAsia="思源黑体 CN Regular"/>
          <w:b w:val="0"/>
          <w:color w:val="auto"/>
        </w:rPr>
        <w:t>200</w:t>
      </w:r>
      <w:r>
        <w:rPr>
          <w:rFonts w:hint="eastAsia" w:ascii="思源黑体 CN Regular" w:hAnsi="思源黑体 CN Regular" w:eastAsia="思源黑体 CN Regular"/>
          <w:b w:val="0"/>
          <w:color w:val="auto"/>
        </w:rPr>
        <w:t>mm</w:t>
      </w:r>
    </w:p>
    <w:bookmarkEnd w:id="5"/>
    <w:p>
      <w:pPr>
        <w:pStyle w:val="63"/>
        <w:ind w:firstLine="480" w:firstLineChars="200"/>
        <w:rPr>
          <w:rFonts w:ascii="思源黑体 CN Regular" w:hAnsi="思源黑体 CN Regular" w:eastAsia="思源黑体 CN Regular"/>
          <w:b w:val="0"/>
          <w:color w:val="auto"/>
        </w:rPr>
      </w:pPr>
      <w:r>
        <w:rPr>
          <w:rFonts w:hint="eastAsia" w:ascii="思源黑体 CN Regular" w:hAnsi="思源黑体 CN Regular" w:eastAsia="思源黑体 CN Regular"/>
          <w:b w:val="0"/>
          <w:color w:val="auto"/>
        </w:rPr>
        <w:t>位置：手动任务区一侧</w:t>
      </w:r>
    </w:p>
    <w:p>
      <w:pPr>
        <w:pStyle w:val="63"/>
        <w:ind w:firstLine="482" w:firstLineChars="200"/>
        <w:rPr>
          <w:rFonts w:ascii="思源黑体 CN Regular" w:hAnsi="思源黑体 CN Regular" w:eastAsia="思源黑体 CN Regular"/>
          <w:b w:val="0"/>
          <w:color w:val="auto"/>
        </w:rPr>
      </w:pPr>
      <w:r>
        <w:drawing>
          <wp:anchor distT="0" distB="0" distL="114300" distR="114300" simplePos="0" relativeHeight="251694080" behindDoc="0" locked="0" layoutInCell="1" allowOverlap="1">
            <wp:simplePos x="0" y="0"/>
            <wp:positionH relativeFrom="margin">
              <wp:posOffset>1144905</wp:posOffset>
            </wp:positionH>
            <wp:positionV relativeFrom="paragraph">
              <wp:posOffset>381000</wp:posOffset>
            </wp:positionV>
            <wp:extent cx="2990850" cy="982980"/>
            <wp:effectExtent l="0" t="0" r="0" b="7620"/>
            <wp:wrapTopAndBottom/>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2990850" cy="982980"/>
                    </a:xfrm>
                    <a:prstGeom prst="rect">
                      <a:avLst/>
                    </a:prstGeom>
                  </pic:spPr>
                </pic:pic>
              </a:graphicData>
            </a:graphic>
          </wp:anchor>
        </w:drawing>
      </w:r>
      <w:r>
        <w:rPr>
          <w:rFonts w:hint="eastAsia" w:ascii="思源黑体 CN Regular" w:hAnsi="思源黑体 CN Regular" w:eastAsia="思源黑体 CN Regular"/>
          <w:b w:val="0"/>
          <w:color w:val="auto"/>
        </w:rPr>
        <w:t>数量：一个</w:t>
      </w:r>
    </w:p>
    <w:p>
      <w:pPr>
        <w:pStyle w:val="30"/>
        <w:spacing w:after="156" w:afterLines="50"/>
        <w:ind w:firstLine="0"/>
        <w:jc w:val="center"/>
        <w:rPr>
          <w:bCs/>
          <w:color w:val="auto"/>
        </w:rPr>
      </w:pPr>
      <w:r>
        <w:rPr>
          <w:rFonts w:hint="eastAsia"/>
          <w:bCs/>
          <w:color w:val="auto"/>
        </w:rPr>
        <w:t>图</w:t>
      </w:r>
      <w:r>
        <w:rPr>
          <w:rFonts w:hint="eastAsia"/>
          <w:bCs/>
          <w:color w:val="auto"/>
          <w:lang w:val="en-US" w:eastAsia="zh-CN"/>
        </w:rPr>
        <w:t>1</w:t>
      </w:r>
      <w:r>
        <w:rPr>
          <w:bCs/>
          <w:color w:val="auto"/>
        </w:rPr>
        <w:t>.2-5</w:t>
      </w:r>
      <w:r>
        <w:rPr>
          <w:rFonts w:hint="eastAsia"/>
          <w:bCs/>
          <w:color w:val="auto"/>
        </w:rPr>
        <w:t>手动装载区示意图</w:t>
      </w:r>
    </w:p>
    <w:p>
      <w:pPr>
        <w:pStyle w:val="63"/>
      </w:pPr>
      <w:r>
        <w:rPr>
          <w:rFonts w:hint="eastAsia"/>
        </w:rPr>
        <w:t>标记</w:t>
      </w:r>
      <w:r>
        <w:t>区</w:t>
      </w:r>
    </w:p>
    <w:p>
      <w:pPr>
        <w:pStyle w:val="63"/>
        <w:ind w:firstLine="480" w:firstLineChars="200"/>
        <w:rPr>
          <w:rFonts w:ascii="思源黑体 CN Regular" w:hAnsi="思源黑体 CN Regular" w:eastAsia="思源黑体 CN Regular"/>
          <w:b w:val="0"/>
          <w:color w:val="auto"/>
        </w:rPr>
      </w:pPr>
      <w:r>
        <w:rPr>
          <w:rFonts w:hint="eastAsia" w:ascii="思源黑体 CN Regular" w:hAnsi="思源黑体 CN Regular" w:eastAsia="思源黑体 CN Regular"/>
          <w:b w:val="0"/>
          <w:color w:val="auto"/>
        </w:rPr>
        <w:t>战队标记区为图示圆形区域。</w:t>
      </w:r>
    </w:p>
    <w:p>
      <w:pPr>
        <w:pStyle w:val="63"/>
        <w:ind w:firstLine="480" w:firstLineChars="200"/>
        <w:rPr>
          <w:rFonts w:ascii="思源黑体 CN Regular" w:hAnsi="思源黑体 CN Regular" w:eastAsia="思源黑体 CN Regular"/>
          <w:b w:val="0"/>
          <w:color w:val="auto"/>
        </w:rPr>
      </w:pPr>
      <w:r>
        <w:rPr>
          <w:rFonts w:hint="eastAsia" w:ascii="思源黑体 CN Regular" w:hAnsi="思源黑体 CN Regular" w:eastAsia="思源黑体 CN Regular"/>
          <w:b w:val="0"/>
          <w:color w:val="auto"/>
        </w:rPr>
        <w:t>尺寸：直径</w:t>
      </w:r>
      <w:r>
        <w:rPr>
          <w:rFonts w:ascii="思源黑体 CN Regular" w:hAnsi="思源黑体 CN Regular" w:eastAsia="思源黑体 CN Regular"/>
          <w:b w:val="0"/>
          <w:color w:val="auto"/>
        </w:rPr>
        <w:t>60mm圆形</w:t>
      </w:r>
    </w:p>
    <w:p>
      <w:pPr>
        <w:pStyle w:val="63"/>
        <w:ind w:firstLine="480" w:firstLineChars="200"/>
        <w:rPr>
          <w:rFonts w:ascii="思源黑体 CN Regular" w:hAnsi="思源黑体 CN Regular" w:eastAsia="思源黑体 CN Regular"/>
          <w:b w:val="0"/>
          <w:color w:val="auto"/>
        </w:rPr>
      </w:pPr>
      <w:r>
        <w:rPr>
          <w:rFonts w:hint="eastAsia" w:ascii="思源黑体 CN Regular" w:hAnsi="思源黑体 CN Regular" w:eastAsia="思源黑体 CN Regular"/>
          <w:b w:val="0"/>
          <w:color w:val="auto"/>
        </w:rPr>
        <w:t>位置：手动任务区矩阵研究站两侧</w:t>
      </w:r>
    </w:p>
    <w:p>
      <w:pPr>
        <w:pStyle w:val="30"/>
        <w:rPr>
          <w:color w:val="auto"/>
        </w:rPr>
      </w:pPr>
      <w:r>
        <w:drawing>
          <wp:anchor distT="0" distB="0" distL="114300" distR="114300" simplePos="0" relativeHeight="251695104" behindDoc="0" locked="0" layoutInCell="1" allowOverlap="1">
            <wp:simplePos x="0" y="0"/>
            <wp:positionH relativeFrom="column">
              <wp:posOffset>1468755</wp:posOffset>
            </wp:positionH>
            <wp:positionV relativeFrom="paragraph">
              <wp:posOffset>278765</wp:posOffset>
            </wp:positionV>
            <wp:extent cx="2447925" cy="1969770"/>
            <wp:effectExtent l="0" t="0" r="9525" b="0"/>
            <wp:wrapTopAndBottom/>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2447925" cy="1969770"/>
                    </a:xfrm>
                    <a:prstGeom prst="rect">
                      <a:avLst/>
                    </a:prstGeom>
                  </pic:spPr>
                </pic:pic>
              </a:graphicData>
            </a:graphic>
          </wp:anchor>
        </w:drawing>
      </w:r>
      <w:r>
        <w:rPr>
          <w:rFonts w:hint="eastAsia"/>
          <w:color w:val="auto"/>
        </w:rPr>
        <w:t>数量：红蓝方各一个</w:t>
      </w:r>
    </w:p>
    <w:p>
      <w:pPr>
        <w:pStyle w:val="30"/>
        <w:spacing w:after="156" w:afterLines="50"/>
        <w:ind w:firstLine="0"/>
        <w:jc w:val="center"/>
        <w:rPr>
          <w:bCs/>
          <w:color w:val="auto"/>
        </w:rPr>
      </w:pPr>
      <w:r>
        <w:rPr>
          <w:rFonts w:hint="eastAsia"/>
          <w:bCs/>
          <w:color w:val="auto"/>
        </w:rPr>
        <w:t>图</w:t>
      </w:r>
      <w:r>
        <w:rPr>
          <w:rFonts w:hint="eastAsia"/>
          <w:bCs/>
          <w:color w:val="auto"/>
          <w:lang w:val="en-US" w:eastAsia="zh-CN"/>
        </w:rPr>
        <w:t>1</w:t>
      </w:r>
      <w:r>
        <w:rPr>
          <w:bCs/>
          <w:color w:val="auto"/>
        </w:rPr>
        <w:t>.2-6</w:t>
      </w:r>
      <w:r>
        <w:rPr>
          <w:rFonts w:hint="eastAsia"/>
          <w:bCs/>
          <w:color w:val="auto"/>
        </w:rPr>
        <w:t>标记区示意图</w:t>
      </w:r>
    </w:p>
    <w:p>
      <w:pPr>
        <w:pStyle w:val="33"/>
        <w:spacing w:line="420" w:lineRule="exact"/>
      </w:pPr>
      <w:bookmarkStart w:id="6" w:name="_Toc149299884"/>
      <w:r>
        <w:rPr>
          <w:rFonts w:hint="eastAsia"/>
        </w:rPr>
        <w:t>道具清单</w:t>
      </w:r>
      <w:bookmarkEnd w:id="6"/>
    </w:p>
    <w:p>
      <w:pPr>
        <w:pStyle w:val="30"/>
      </w:pPr>
      <w:r>
        <w:rPr>
          <w:rFonts w:hint="eastAsia"/>
        </w:rPr>
        <w:t>场地道具包括得分道具及任务道具，以下为道具介绍：</w:t>
      </w:r>
    </w:p>
    <w:p>
      <w:pPr>
        <w:pStyle w:val="63"/>
      </w:pPr>
      <w:r>
        <w:rPr>
          <w:rFonts w:hint="eastAsia"/>
        </w:rPr>
        <w:t>得分道具</w:t>
      </w:r>
    </w:p>
    <w:p>
      <w:pPr>
        <w:pStyle w:val="63"/>
        <w:ind w:firstLine="482" w:firstLineChars="200"/>
      </w:pPr>
      <w:r>
        <w:rPr>
          <w:color w:val="auto"/>
        </w:rPr>
        <w:t>道具名称：</w:t>
      </w:r>
      <w:r>
        <w:rPr>
          <w:rFonts w:hint="eastAsia"/>
        </w:rPr>
        <w:t>数据块</w:t>
      </w:r>
    </w:p>
    <w:p>
      <w:pPr>
        <w:ind w:firstLine="482" w:firstLineChars="200"/>
        <w:jc w:val="left"/>
        <w:rPr>
          <w:rFonts w:cs="微软雅黑"/>
          <w:color w:val="000000" w:themeColor="text1"/>
          <w:sz w:val="24"/>
          <w:szCs w:val="21"/>
          <w14:textFill>
            <w14:solidFill>
              <w14:schemeClr w14:val="tx1"/>
            </w14:solidFill>
          </w14:textFill>
        </w:rPr>
      </w:pPr>
      <w:r>
        <w:rPr>
          <w:rFonts w:ascii="思源黑体 CN Heavy" w:hAnsi="思源黑体 CN Heavy" w:eastAsia="思源黑体 CN Heavy" w:cs="微软雅黑"/>
          <w:b/>
          <w:sz w:val="24"/>
          <w:szCs w:val="21"/>
        </w:rPr>
        <w:t>道具介绍：</w:t>
      </w:r>
      <w:r>
        <w:rPr>
          <w:rFonts w:cs="微软雅黑"/>
          <w:color w:val="000000" w:themeColor="text1"/>
          <w:sz w:val="24"/>
          <w:szCs w:val="21"/>
          <w14:textFill>
            <w14:solidFill>
              <w14:schemeClr w14:val="tx1"/>
            </w14:solidFill>
          </w14:textFill>
        </w:rPr>
        <w:t>边长70mm带倒三角的</w:t>
      </w:r>
      <w:r>
        <w:rPr>
          <w:rFonts w:hint="eastAsia" w:cs="微软雅黑"/>
          <w:color w:val="000000" w:themeColor="text1"/>
          <w:sz w:val="24"/>
          <w:szCs w:val="21"/>
          <w14:textFill>
            <w14:solidFill>
              <w14:schemeClr w14:val="tx1"/>
            </w14:solidFill>
          </w14:textFill>
        </w:rPr>
        <w:t>红色或蓝色</w:t>
      </w:r>
      <w:r>
        <w:rPr>
          <w:rFonts w:cs="微软雅黑"/>
          <w:color w:val="000000" w:themeColor="text1"/>
          <w:sz w:val="24"/>
          <w:szCs w:val="21"/>
          <w14:textFill>
            <w14:solidFill>
              <w14:schemeClr w14:val="tx1"/>
            </w14:solidFill>
          </w14:textFill>
        </w:rPr>
        <w:t>正方体</w:t>
      </w:r>
      <w:r>
        <w:rPr>
          <w:rFonts w:hint="eastAsia" w:cs="微软雅黑"/>
          <w:color w:val="000000" w:themeColor="text1"/>
          <w:sz w:val="24"/>
          <w:szCs w:val="21"/>
          <w14:textFill>
            <w14:solidFill>
              <w14:schemeClr w14:val="tx1"/>
            </w14:solidFill>
          </w14:textFill>
        </w:rPr>
        <w:t>，4面分别标有字母“M”“A”“E”“X”，以下简称红色/蓝色字母方块</w:t>
      </w:r>
    </w:p>
    <w:p>
      <w:pPr>
        <w:ind w:firstLine="482" w:firstLineChars="200"/>
        <w:jc w:val="left"/>
        <w:rPr>
          <w:rFonts w:cs="微软雅黑"/>
          <w:color w:val="000000" w:themeColor="text1"/>
          <w:sz w:val="24"/>
          <w:szCs w:val="21"/>
          <w14:textFill>
            <w14:solidFill>
              <w14:schemeClr w14:val="tx1"/>
            </w14:solidFill>
          </w14:textFill>
        </w:rPr>
      </w:pPr>
      <w:r>
        <w:rPr>
          <w:rFonts w:ascii="思源黑体 CN Heavy" w:hAnsi="思源黑体 CN Heavy" w:eastAsia="思源黑体 CN Heavy" w:cs="微软雅黑"/>
          <w:b/>
          <w:sz w:val="24"/>
          <w:szCs w:val="21"/>
        </w:rPr>
        <w:t>道具尺寸：</w:t>
      </w:r>
      <w:r>
        <w:rPr>
          <w:rFonts w:cs="微软雅黑"/>
          <w:color w:val="000000" w:themeColor="text1"/>
          <w:sz w:val="24"/>
          <w:szCs w:val="21"/>
          <w14:textFill>
            <w14:solidFill>
              <w14:schemeClr w14:val="tx1"/>
            </w14:solidFill>
          </w14:textFill>
        </w:rPr>
        <w:t>最大边长为70mm</w:t>
      </w:r>
    </w:p>
    <w:p>
      <w:pPr>
        <w:ind w:firstLine="400" w:firstLineChars="200"/>
        <w:jc w:val="left"/>
        <w:rPr>
          <w:rFonts w:cs="微软雅黑"/>
          <w:color w:val="000000" w:themeColor="text1"/>
          <w:sz w:val="24"/>
          <w:szCs w:val="21"/>
          <w14:textFill>
            <w14:solidFill>
              <w14:schemeClr w14:val="tx1"/>
            </w14:solidFill>
          </w14:textFill>
        </w:rPr>
      </w:pPr>
      <w:r>
        <w:drawing>
          <wp:anchor distT="0" distB="0" distL="114300" distR="114300" simplePos="0" relativeHeight="251678720" behindDoc="0" locked="0" layoutInCell="1" allowOverlap="1">
            <wp:simplePos x="0" y="0"/>
            <wp:positionH relativeFrom="margin">
              <wp:posOffset>240030</wp:posOffset>
            </wp:positionH>
            <wp:positionV relativeFrom="paragraph">
              <wp:posOffset>309880</wp:posOffset>
            </wp:positionV>
            <wp:extent cx="5096510" cy="1880235"/>
            <wp:effectExtent l="0" t="0" r="0" b="0"/>
            <wp:wrapTopAndBottom/>
            <wp:docPr id="6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25"/>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096510" cy="1880235"/>
                    </a:xfrm>
                    <a:prstGeom prst="rect">
                      <a:avLst/>
                    </a:prstGeom>
                  </pic:spPr>
                </pic:pic>
              </a:graphicData>
            </a:graphic>
          </wp:anchor>
        </w:drawing>
      </w:r>
      <w:r>
        <w:rPr>
          <w:rFonts w:ascii="思源黑体 CN Heavy" w:hAnsi="思源黑体 CN Heavy" w:eastAsia="思源黑体 CN Heavy" w:cs="微软雅黑"/>
          <w:b/>
          <w:sz w:val="24"/>
          <w:szCs w:val="21"/>
        </w:rPr>
        <w:t>颜色与材质：</w:t>
      </w:r>
      <w:r>
        <w:rPr>
          <w:rFonts w:hint="eastAsia" w:cs="微软雅黑"/>
          <w:color w:val="000000" w:themeColor="text1"/>
          <w:sz w:val="24"/>
          <w:szCs w:val="21"/>
          <w14:textFill>
            <w14:solidFill>
              <w14:schemeClr w14:val="tx1"/>
            </w14:solidFill>
          </w14:textFill>
        </w:rPr>
        <w:t>红色</w:t>
      </w:r>
      <w:r>
        <w:rPr>
          <w:rFonts w:cs="微软雅黑"/>
          <w:color w:val="000000" w:themeColor="text1"/>
          <w:sz w:val="24"/>
          <w:szCs w:val="21"/>
          <w14:textFill>
            <w14:solidFill>
              <w14:schemeClr w14:val="tx1"/>
            </w14:solidFill>
          </w14:textFill>
        </w:rPr>
        <w:t>、</w:t>
      </w:r>
      <w:r>
        <w:rPr>
          <w:rFonts w:hint="eastAsia" w:cs="微软雅黑"/>
          <w:color w:val="000000" w:themeColor="text1"/>
          <w:sz w:val="24"/>
          <w:szCs w:val="21"/>
          <w14:textFill>
            <w14:solidFill>
              <w14:schemeClr w14:val="tx1"/>
            </w14:solidFill>
          </w14:textFill>
        </w:rPr>
        <w:t>蓝色、</w:t>
      </w:r>
      <w:r>
        <w:rPr>
          <w:rFonts w:cs="微软雅黑"/>
          <w:color w:val="000000" w:themeColor="text1"/>
          <w:sz w:val="24"/>
          <w:szCs w:val="21"/>
          <w14:textFill>
            <w14:solidFill>
              <w14:schemeClr w14:val="tx1"/>
            </w14:solidFill>
          </w14:textFill>
        </w:rPr>
        <w:t>EVA</w:t>
      </w:r>
    </w:p>
    <w:p>
      <w:pPr>
        <w:pStyle w:val="30"/>
        <w:spacing w:after="156" w:afterLines="50"/>
        <w:ind w:firstLine="0"/>
        <w:jc w:val="center"/>
        <w:rPr>
          <w:bCs/>
          <w:color w:val="auto"/>
        </w:rPr>
      </w:pPr>
      <w:r>
        <w:rPr>
          <w:rFonts w:hint="eastAsia"/>
          <w:bCs/>
          <w:color w:val="auto"/>
        </w:rPr>
        <w:t>图</w:t>
      </w:r>
      <w:r>
        <w:rPr>
          <w:rFonts w:hint="eastAsia"/>
          <w:bCs/>
          <w:color w:val="auto"/>
          <w:lang w:val="en-US" w:eastAsia="zh-CN"/>
        </w:rPr>
        <w:t>1</w:t>
      </w:r>
      <w:r>
        <w:rPr>
          <w:bCs/>
          <w:color w:val="auto"/>
        </w:rPr>
        <w:t>.3-1</w:t>
      </w:r>
      <w:r>
        <w:rPr>
          <w:rFonts w:hint="eastAsia"/>
          <w:bCs/>
          <w:color w:val="auto"/>
        </w:rPr>
        <w:t>数据块示意图</w:t>
      </w:r>
    </w:p>
    <w:p>
      <w:pPr>
        <w:pStyle w:val="63"/>
        <w:ind w:firstLine="482" w:firstLineChars="200"/>
      </w:pPr>
      <w:r>
        <w:rPr>
          <w:color w:val="auto"/>
        </w:rPr>
        <w:t>道具名称：</w:t>
      </w:r>
      <w:r>
        <w:rPr>
          <w:rFonts w:hint="eastAsia"/>
        </w:rPr>
        <w:t>量子芯片</w:t>
      </w:r>
      <w:r>
        <w:t xml:space="preserve"> </w:t>
      </w:r>
    </w:p>
    <w:p>
      <w:pPr>
        <w:ind w:firstLine="482" w:firstLineChars="200"/>
        <w:jc w:val="left"/>
        <w:rPr>
          <w:rFonts w:cs="微软雅黑"/>
          <w:color w:val="000000" w:themeColor="text1"/>
          <w:sz w:val="24"/>
          <w:szCs w:val="21"/>
          <w14:textFill>
            <w14:solidFill>
              <w14:schemeClr w14:val="tx1"/>
            </w14:solidFill>
          </w14:textFill>
        </w:rPr>
      </w:pPr>
      <w:r>
        <w:rPr>
          <w:rFonts w:ascii="思源黑体 CN Heavy" w:hAnsi="思源黑体 CN Heavy" w:eastAsia="思源黑体 CN Heavy" w:cs="微软雅黑"/>
          <w:b/>
          <w:sz w:val="24"/>
          <w:szCs w:val="21"/>
        </w:rPr>
        <w:t>道具介绍：</w:t>
      </w:r>
      <w:r>
        <w:rPr>
          <w:rFonts w:cs="微软雅黑"/>
          <w:color w:val="000000" w:themeColor="text1"/>
          <w:sz w:val="24"/>
          <w:szCs w:val="21"/>
          <w14:textFill>
            <w14:solidFill>
              <w14:schemeClr w14:val="tx1"/>
            </w14:solidFill>
          </w14:textFill>
        </w:rPr>
        <w:t>边长70mm带倒三角的</w:t>
      </w:r>
      <w:r>
        <w:rPr>
          <w:rFonts w:hint="eastAsia" w:cs="微软雅黑"/>
          <w:color w:val="000000" w:themeColor="text1"/>
          <w:sz w:val="24"/>
          <w:szCs w:val="21"/>
          <w14:textFill>
            <w14:solidFill>
              <w14:schemeClr w14:val="tx1"/>
            </w14:solidFill>
          </w14:textFill>
        </w:rPr>
        <w:t>黄色</w:t>
      </w:r>
      <w:r>
        <w:rPr>
          <w:rFonts w:cs="微软雅黑"/>
          <w:color w:val="000000" w:themeColor="text1"/>
          <w:sz w:val="24"/>
          <w:szCs w:val="21"/>
          <w14:textFill>
            <w14:solidFill>
              <w14:schemeClr w14:val="tx1"/>
            </w14:solidFill>
          </w14:textFill>
        </w:rPr>
        <w:t>正方体</w:t>
      </w:r>
      <w:r>
        <w:rPr>
          <w:rFonts w:hint="eastAsia" w:cs="微软雅黑"/>
          <w:color w:val="000000" w:themeColor="text1"/>
          <w:sz w:val="24"/>
          <w:szCs w:val="21"/>
          <w14:textFill>
            <w14:solidFill>
              <w14:schemeClr w14:val="tx1"/>
            </w14:solidFill>
          </w14:textFill>
        </w:rPr>
        <w:t>，</w:t>
      </w:r>
      <w:r>
        <w:rPr>
          <w:rFonts w:cs="微软雅黑"/>
          <w:color w:val="000000" w:themeColor="text1"/>
          <w:sz w:val="24"/>
          <w:szCs w:val="21"/>
          <w14:textFill>
            <w14:solidFill>
              <w14:schemeClr w14:val="tx1"/>
            </w14:solidFill>
          </w14:textFill>
        </w:rPr>
        <w:t>4</w:t>
      </w:r>
      <w:r>
        <w:rPr>
          <w:rFonts w:hint="eastAsia" w:cs="微软雅黑"/>
          <w:color w:val="000000" w:themeColor="text1"/>
          <w:sz w:val="24"/>
          <w:szCs w:val="21"/>
          <w14:textFill>
            <w14:solidFill>
              <w14:schemeClr w14:val="tx1"/>
            </w14:solidFill>
          </w14:textFill>
        </w:rPr>
        <w:t>面均标字母“K”，以下简称黄色字母方块</w:t>
      </w:r>
    </w:p>
    <w:p>
      <w:pPr>
        <w:ind w:firstLine="482" w:firstLineChars="200"/>
        <w:jc w:val="left"/>
        <w:rPr>
          <w:rFonts w:cs="微软雅黑"/>
          <w:color w:val="000000" w:themeColor="text1"/>
          <w:sz w:val="24"/>
          <w:szCs w:val="21"/>
          <w14:textFill>
            <w14:solidFill>
              <w14:schemeClr w14:val="tx1"/>
            </w14:solidFill>
          </w14:textFill>
        </w:rPr>
      </w:pPr>
      <w:r>
        <w:rPr>
          <w:rFonts w:ascii="思源黑体 CN Heavy" w:hAnsi="思源黑体 CN Heavy" w:eastAsia="思源黑体 CN Heavy" w:cs="微软雅黑"/>
          <w:b/>
          <w:sz w:val="24"/>
          <w:szCs w:val="21"/>
        </w:rPr>
        <w:t>道具尺寸：</w:t>
      </w:r>
      <w:r>
        <w:rPr>
          <w:rFonts w:cs="微软雅黑"/>
          <w:color w:val="000000" w:themeColor="text1"/>
          <w:sz w:val="24"/>
          <w:szCs w:val="21"/>
          <w14:textFill>
            <w14:solidFill>
              <w14:schemeClr w14:val="tx1"/>
            </w14:solidFill>
          </w14:textFill>
        </w:rPr>
        <w:t>最大边长为70mm</w:t>
      </w:r>
    </w:p>
    <w:p>
      <w:pPr>
        <w:ind w:firstLine="400" w:firstLineChars="200"/>
        <w:jc w:val="left"/>
        <w:rPr>
          <w:rFonts w:cs="微软雅黑"/>
          <w:color w:val="000000" w:themeColor="text1"/>
          <w:sz w:val="24"/>
          <w:szCs w:val="21"/>
          <w14:textFill>
            <w14:solidFill>
              <w14:schemeClr w14:val="tx1"/>
            </w14:solidFill>
          </w14:textFill>
        </w:rPr>
      </w:pPr>
      <w:r>
        <w:drawing>
          <wp:anchor distT="0" distB="0" distL="114300" distR="114300" simplePos="0" relativeHeight="251677696" behindDoc="0" locked="0" layoutInCell="1" allowOverlap="1">
            <wp:simplePos x="0" y="0"/>
            <wp:positionH relativeFrom="margin">
              <wp:align>right</wp:align>
            </wp:positionH>
            <wp:positionV relativeFrom="paragraph">
              <wp:posOffset>250825</wp:posOffset>
            </wp:positionV>
            <wp:extent cx="5038725" cy="1056005"/>
            <wp:effectExtent l="0" t="0" r="0" b="0"/>
            <wp:wrapTopAndBottom/>
            <wp:docPr id="63" name="Draw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Drawing 5"/>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038725" cy="1056005"/>
                    </a:xfrm>
                    <a:prstGeom prst="rect">
                      <a:avLst/>
                    </a:prstGeom>
                  </pic:spPr>
                </pic:pic>
              </a:graphicData>
            </a:graphic>
          </wp:anchor>
        </w:drawing>
      </w:r>
      <w:r>
        <w:rPr>
          <w:rFonts w:hint="eastAsia" w:ascii="思源黑体 CN Heavy" w:hAnsi="思源黑体 CN Heavy" w:eastAsia="思源黑体 CN Heavy" w:cs="微软雅黑"/>
          <w:b/>
          <w:sz w:val="24"/>
          <w:szCs w:val="21"/>
        </w:rPr>
        <w:t>颜色与材质</w:t>
      </w:r>
      <w:r>
        <w:rPr>
          <w:rFonts w:ascii="思源黑体 CN Heavy" w:hAnsi="思源黑体 CN Heavy" w:eastAsia="思源黑体 CN Heavy" w:cs="微软雅黑"/>
          <w:b/>
          <w:sz w:val="24"/>
          <w:szCs w:val="21"/>
        </w:rPr>
        <w:t>：</w:t>
      </w:r>
      <w:r>
        <w:rPr>
          <w:rFonts w:hint="eastAsia" w:cs="微软雅黑"/>
          <w:color w:val="000000" w:themeColor="text1"/>
          <w:sz w:val="24"/>
          <w:szCs w:val="21"/>
          <w14:textFill>
            <w14:solidFill>
              <w14:schemeClr w14:val="tx1"/>
            </w14:solidFill>
          </w14:textFill>
        </w:rPr>
        <w:t>黄色</w:t>
      </w:r>
      <w:r>
        <w:rPr>
          <w:rFonts w:cs="微软雅黑"/>
          <w:color w:val="000000" w:themeColor="text1"/>
          <w:sz w:val="24"/>
          <w:szCs w:val="21"/>
          <w14:textFill>
            <w14:solidFill>
              <w14:schemeClr w14:val="tx1"/>
            </w14:solidFill>
          </w14:textFill>
        </w:rPr>
        <w:t>、EVA</w:t>
      </w:r>
    </w:p>
    <w:p>
      <w:pPr>
        <w:pStyle w:val="30"/>
        <w:spacing w:after="156" w:afterLines="50"/>
        <w:ind w:firstLine="0"/>
        <w:jc w:val="center"/>
        <w:rPr>
          <w:bCs/>
          <w:color w:val="auto"/>
        </w:rPr>
      </w:pPr>
      <w:r>
        <w:rPr>
          <w:rFonts w:hint="eastAsia"/>
          <w:bCs/>
          <w:color w:val="auto"/>
        </w:rPr>
        <w:t>图</w:t>
      </w:r>
      <w:r>
        <w:rPr>
          <w:rFonts w:hint="eastAsia"/>
          <w:bCs/>
          <w:color w:val="auto"/>
          <w:lang w:val="en-US" w:eastAsia="zh-CN"/>
        </w:rPr>
        <w:t>1</w:t>
      </w:r>
      <w:r>
        <w:rPr>
          <w:bCs/>
          <w:color w:val="auto"/>
        </w:rPr>
        <w:t>.3-2</w:t>
      </w:r>
      <w:r>
        <w:rPr>
          <w:rFonts w:hint="eastAsia"/>
          <w:bCs/>
          <w:color w:val="auto"/>
        </w:rPr>
        <w:t>量子芯片示意图</w:t>
      </w:r>
    </w:p>
    <w:p>
      <w:pPr>
        <w:pStyle w:val="63"/>
        <w:ind w:firstLine="482" w:firstLineChars="200"/>
      </w:pPr>
      <w:r>
        <w:rPr>
          <w:color w:val="auto"/>
        </w:rPr>
        <w:t>道具名称：</w:t>
      </w:r>
      <w:r>
        <w:rPr>
          <w:rFonts w:hint="eastAsia"/>
        </w:rPr>
        <w:t>有机晶体</w:t>
      </w:r>
      <w:r>
        <w:t xml:space="preserve"> </w:t>
      </w:r>
    </w:p>
    <w:p>
      <w:pPr>
        <w:ind w:firstLine="482" w:firstLineChars="200"/>
        <w:jc w:val="left"/>
        <w:rPr>
          <w:rFonts w:cs="微软雅黑"/>
          <w:color w:val="000000" w:themeColor="text1"/>
          <w:sz w:val="24"/>
          <w:szCs w:val="21"/>
          <w14:textFill>
            <w14:solidFill>
              <w14:schemeClr w14:val="tx1"/>
            </w14:solidFill>
          </w14:textFill>
        </w:rPr>
      </w:pPr>
      <w:r>
        <w:rPr>
          <w:rFonts w:ascii="思源黑体 CN Heavy" w:hAnsi="思源黑体 CN Heavy" w:eastAsia="思源黑体 CN Heavy" w:cs="微软雅黑"/>
          <w:b/>
          <w:sz w:val="24"/>
          <w:szCs w:val="21"/>
        </w:rPr>
        <w:t>道具介绍：</w:t>
      </w:r>
      <w:r>
        <w:rPr>
          <w:rFonts w:cs="微软雅黑"/>
          <w:color w:val="000000" w:themeColor="text1"/>
          <w:sz w:val="24"/>
          <w:szCs w:val="21"/>
          <w14:textFill>
            <w14:solidFill>
              <w14:schemeClr w14:val="tx1"/>
            </w14:solidFill>
          </w14:textFill>
        </w:rPr>
        <w:t>边长70mm带倒三角的</w:t>
      </w:r>
      <w:r>
        <w:rPr>
          <w:rFonts w:hint="eastAsia" w:cs="微软雅黑"/>
          <w:color w:val="000000" w:themeColor="text1"/>
          <w:sz w:val="24"/>
          <w:szCs w:val="21"/>
          <w14:textFill>
            <w14:solidFill>
              <w14:schemeClr w14:val="tx1"/>
            </w14:solidFill>
          </w14:textFill>
        </w:rPr>
        <w:t>黄色</w:t>
      </w:r>
      <w:r>
        <w:rPr>
          <w:rFonts w:cs="微软雅黑"/>
          <w:color w:val="000000" w:themeColor="text1"/>
          <w:sz w:val="24"/>
          <w:szCs w:val="21"/>
          <w14:textFill>
            <w14:solidFill>
              <w14:schemeClr w14:val="tx1"/>
            </w14:solidFill>
          </w14:textFill>
        </w:rPr>
        <w:t>正方体</w:t>
      </w:r>
      <w:r>
        <w:rPr>
          <w:rFonts w:hint="eastAsia" w:cs="微软雅黑"/>
          <w:color w:val="000000" w:themeColor="text1"/>
          <w:sz w:val="24"/>
          <w:szCs w:val="21"/>
          <w14:textFill>
            <w14:solidFill>
              <w14:schemeClr w14:val="tx1"/>
            </w14:solidFill>
          </w14:textFill>
        </w:rPr>
        <w:t>，以下简称黄色方块</w:t>
      </w:r>
    </w:p>
    <w:p>
      <w:pPr>
        <w:ind w:firstLine="482" w:firstLineChars="200"/>
        <w:jc w:val="left"/>
        <w:rPr>
          <w:rFonts w:cs="微软雅黑"/>
          <w:color w:val="000000" w:themeColor="text1"/>
          <w:sz w:val="24"/>
          <w:szCs w:val="21"/>
          <w14:textFill>
            <w14:solidFill>
              <w14:schemeClr w14:val="tx1"/>
            </w14:solidFill>
          </w14:textFill>
        </w:rPr>
      </w:pPr>
      <w:r>
        <w:rPr>
          <w:rFonts w:ascii="思源黑体 CN Heavy" w:hAnsi="思源黑体 CN Heavy" w:eastAsia="思源黑体 CN Heavy" w:cs="微软雅黑"/>
          <w:b/>
          <w:sz w:val="24"/>
          <w:szCs w:val="21"/>
        </w:rPr>
        <w:t>道具尺寸：</w:t>
      </w:r>
      <w:r>
        <w:rPr>
          <w:rFonts w:cs="微软雅黑"/>
          <w:color w:val="000000" w:themeColor="text1"/>
          <w:sz w:val="24"/>
          <w:szCs w:val="21"/>
          <w14:textFill>
            <w14:solidFill>
              <w14:schemeClr w14:val="tx1"/>
            </w14:solidFill>
          </w14:textFill>
        </w:rPr>
        <w:t>最大边长为70mm</w:t>
      </w:r>
    </w:p>
    <w:p>
      <w:pPr>
        <w:ind w:firstLine="480" w:firstLineChars="200"/>
        <w:jc w:val="left"/>
        <w:rPr>
          <w:rFonts w:cs="微软雅黑"/>
          <w:color w:val="000000" w:themeColor="text1"/>
          <w:sz w:val="24"/>
          <w:szCs w:val="21"/>
          <w14:textFill>
            <w14:solidFill>
              <w14:schemeClr w14:val="tx1"/>
            </w14:solidFill>
          </w14:textFill>
        </w:rPr>
      </w:pPr>
      <w:r>
        <w:rPr>
          <w:rFonts w:cs="微软雅黑"/>
          <w:color w:val="000000" w:themeColor="text1"/>
          <w:sz w:val="24"/>
          <w:szCs w:val="21"/>
          <w14:textFill>
            <w14:solidFill>
              <w14:schemeClr w14:val="tx1"/>
            </w14:solidFill>
          </w14:textFill>
        </w:rPr>
        <w:drawing>
          <wp:anchor distT="0" distB="0" distL="114300" distR="114300" simplePos="0" relativeHeight="251670528" behindDoc="0" locked="0" layoutInCell="1" allowOverlap="1">
            <wp:simplePos x="0" y="0"/>
            <wp:positionH relativeFrom="margin">
              <wp:align>center</wp:align>
            </wp:positionH>
            <wp:positionV relativeFrom="paragraph">
              <wp:posOffset>383540</wp:posOffset>
            </wp:positionV>
            <wp:extent cx="1498600" cy="1498600"/>
            <wp:effectExtent l="0" t="0" r="0" b="0"/>
            <wp:wrapTopAndBottom/>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1498600" cy="1498600"/>
                    </a:xfrm>
                    <a:prstGeom prst="rect">
                      <a:avLst/>
                    </a:prstGeom>
                  </pic:spPr>
                </pic:pic>
              </a:graphicData>
            </a:graphic>
          </wp:anchor>
        </w:drawing>
      </w:r>
      <w:r>
        <w:rPr>
          <w:rFonts w:hint="eastAsia" w:ascii="思源黑体 CN Heavy" w:hAnsi="思源黑体 CN Heavy" w:eastAsia="思源黑体 CN Heavy" w:cs="微软雅黑"/>
          <w:b/>
          <w:sz w:val="24"/>
          <w:szCs w:val="21"/>
        </w:rPr>
        <w:t>颜色与材质</w:t>
      </w:r>
      <w:r>
        <w:rPr>
          <w:rFonts w:ascii="思源黑体 CN Heavy" w:hAnsi="思源黑体 CN Heavy" w:eastAsia="思源黑体 CN Heavy" w:cs="微软雅黑"/>
          <w:b/>
          <w:sz w:val="24"/>
          <w:szCs w:val="21"/>
        </w:rPr>
        <w:t>：</w:t>
      </w:r>
      <w:r>
        <w:rPr>
          <w:rFonts w:hint="eastAsia" w:cs="微软雅黑"/>
          <w:color w:val="000000" w:themeColor="text1"/>
          <w:sz w:val="24"/>
          <w:szCs w:val="21"/>
          <w14:textFill>
            <w14:solidFill>
              <w14:schemeClr w14:val="tx1"/>
            </w14:solidFill>
          </w14:textFill>
        </w:rPr>
        <w:t>黄色</w:t>
      </w:r>
      <w:r>
        <w:rPr>
          <w:rFonts w:cs="微软雅黑"/>
          <w:color w:val="000000" w:themeColor="text1"/>
          <w:sz w:val="24"/>
          <w:szCs w:val="21"/>
          <w14:textFill>
            <w14:solidFill>
              <w14:schemeClr w14:val="tx1"/>
            </w14:solidFill>
          </w14:textFill>
        </w:rPr>
        <w:t>、EVA</w:t>
      </w:r>
    </w:p>
    <w:p>
      <w:pPr>
        <w:pStyle w:val="30"/>
        <w:spacing w:after="156" w:afterLines="50"/>
        <w:ind w:firstLine="0"/>
        <w:jc w:val="center"/>
        <w:rPr>
          <w:bCs/>
          <w:color w:val="auto"/>
        </w:rPr>
      </w:pPr>
      <w:r>
        <w:rPr>
          <w:rFonts w:hint="eastAsia"/>
          <w:bCs/>
          <w:color w:val="auto"/>
        </w:rPr>
        <w:t>图</w:t>
      </w:r>
      <w:r>
        <w:rPr>
          <w:rFonts w:hint="eastAsia"/>
          <w:bCs/>
          <w:color w:val="auto"/>
          <w:lang w:val="en-US" w:eastAsia="zh-CN"/>
        </w:rPr>
        <w:t>1</w:t>
      </w:r>
      <w:r>
        <w:rPr>
          <w:bCs/>
          <w:color w:val="auto"/>
        </w:rPr>
        <w:t>.3-3</w:t>
      </w:r>
      <w:r>
        <w:rPr>
          <w:rFonts w:hint="eastAsia"/>
          <w:bCs/>
          <w:color w:val="auto"/>
        </w:rPr>
        <w:t>有机晶体示意图</w:t>
      </w:r>
    </w:p>
    <w:p>
      <w:pPr>
        <w:pStyle w:val="63"/>
        <w:ind w:firstLine="482" w:firstLineChars="200"/>
      </w:pPr>
      <w:r>
        <w:rPr>
          <w:color w:val="auto"/>
        </w:rPr>
        <w:t>道具名称：</w:t>
      </w:r>
      <w:r>
        <w:rPr>
          <w:rFonts w:hint="eastAsia"/>
        </w:rPr>
        <w:t>战队自制标记物</w:t>
      </w:r>
      <w:r>
        <w:t xml:space="preserve"> </w:t>
      </w:r>
    </w:p>
    <w:p>
      <w:pPr>
        <w:ind w:firstLine="482" w:firstLineChars="200"/>
        <w:jc w:val="left"/>
        <w:rPr>
          <w:rFonts w:cs="微软雅黑"/>
          <w:color w:val="000000" w:themeColor="text1"/>
          <w:sz w:val="24"/>
          <w:szCs w:val="21"/>
          <w14:textFill>
            <w14:solidFill>
              <w14:schemeClr w14:val="tx1"/>
            </w14:solidFill>
          </w14:textFill>
        </w:rPr>
      </w:pPr>
      <w:r>
        <w:rPr>
          <w:rFonts w:ascii="思源黑体 CN Heavy" w:hAnsi="思源黑体 CN Heavy" w:eastAsia="思源黑体 CN Heavy" w:cs="微软雅黑"/>
          <w:b/>
          <w:sz w:val="24"/>
          <w:szCs w:val="21"/>
        </w:rPr>
        <w:t>道具介绍：</w:t>
      </w:r>
      <w:r>
        <w:rPr>
          <w:rFonts w:hint="eastAsia" w:cs="微软雅黑"/>
          <w:color w:val="000000" w:themeColor="text1"/>
          <w:sz w:val="24"/>
          <w:szCs w:val="21"/>
          <w14:textFill>
            <w14:solidFill>
              <w14:schemeClr w14:val="tx1"/>
            </w14:solidFill>
          </w14:textFill>
        </w:rPr>
        <w:t>为立体道具，不限制材质，推荐使用激光切割机或</w:t>
      </w:r>
      <w:r>
        <w:rPr>
          <w:rFonts w:cs="微软雅黑"/>
          <w:color w:val="000000" w:themeColor="text1"/>
          <w:sz w:val="24"/>
          <w:szCs w:val="21"/>
          <w14:textFill>
            <w14:solidFill>
              <w14:schemeClr w14:val="tx1"/>
            </w14:solidFill>
          </w14:textFill>
        </w:rPr>
        <w:t xml:space="preserve"> 3D 打印机制作而成。高度</w:t>
      </w:r>
      <w:r>
        <w:rPr>
          <w:rFonts w:hint="eastAsia" w:cs="微软雅黑"/>
          <w:color w:val="000000" w:themeColor="text1"/>
          <w:sz w:val="24"/>
          <w:szCs w:val="21"/>
          <w14:textFill>
            <w14:solidFill>
              <w14:schemeClr w14:val="tx1"/>
            </w14:solidFill>
          </w14:textFill>
        </w:rPr>
        <w:t>大于等于</w:t>
      </w:r>
      <w:r>
        <w:rPr>
          <w:rFonts w:cs="微软雅黑"/>
          <w:color w:val="000000" w:themeColor="text1"/>
          <w:sz w:val="24"/>
          <w:szCs w:val="21"/>
          <w14:textFill>
            <w14:solidFill>
              <w14:schemeClr w14:val="tx1"/>
            </w14:solidFill>
          </w14:textFill>
        </w:rPr>
        <w:t>120mm，在地面的垂直投影</w:t>
      </w:r>
      <w:r>
        <w:rPr>
          <w:rFonts w:hint="eastAsia" w:cs="微软雅黑"/>
          <w:color w:val="000000" w:themeColor="text1"/>
          <w:sz w:val="24"/>
          <w:szCs w:val="21"/>
          <w14:textFill>
            <w14:solidFill>
              <w14:schemeClr w14:val="tx1"/>
            </w14:solidFill>
          </w14:textFill>
        </w:rPr>
        <w:t>小于等于直径6</w:t>
      </w:r>
      <w:r>
        <w:rPr>
          <w:rFonts w:cs="微软雅黑"/>
          <w:color w:val="000000" w:themeColor="text1"/>
          <w:sz w:val="24"/>
          <w:szCs w:val="21"/>
          <w14:textFill>
            <w14:solidFill>
              <w14:schemeClr w14:val="tx1"/>
            </w14:solidFill>
          </w14:textFill>
        </w:rPr>
        <w:t>0</w:t>
      </w:r>
      <w:r>
        <w:rPr>
          <w:rFonts w:hint="eastAsia" w:cs="微软雅黑"/>
          <w:color w:val="000000" w:themeColor="text1"/>
          <w:sz w:val="24"/>
          <w:szCs w:val="21"/>
          <w14:textFill>
            <w14:solidFill>
              <w14:schemeClr w14:val="tx1"/>
            </w14:solidFill>
          </w14:textFill>
        </w:rPr>
        <w:t>mm的圆形</w:t>
      </w:r>
      <w:r>
        <w:rPr>
          <w:rFonts w:cs="微软雅黑"/>
          <w:color w:val="000000" w:themeColor="text1"/>
          <w:sz w:val="24"/>
          <w:szCs w:val="21"/>
          <w14:textFill>
            <w14:solidFill>
              <w14:schemeClr w14:val="tx1"/>
            </w14:solidFill>
          </w14:textFill>
        </w:rPr>
        <w:t>区域</w:t>
      </w:r>
      <w:r>
        <w:rPr>
          <w:rFonts w:hint="eastAsia" w:ascii="思源黑体 CN Heavy" w:hAnsi="思源黑体 CN Heavy" w:eastAsia="思源黑体 CN Heavy" w:cs="微软雅黑"/>
          <w:b/>
          <w:sz w:val="24"/>
          <w:szCs w:val="21"/>
        </w:rPr>
        <w:t>。</w:t>
      </w:r>
    </w:p>
    <w:p>
      <w:pPr>
        <w:ind w:firstLine="482" w:firstLineChars="200"/>
        <w:jc w:val="left"/>
        <w:rPr>
          <w:rFonts w:cs="微软雅黑"/>
          <w:color w:val="000000" w:themeColor="text1"/>
          <w:sz w:val="24"/>
          <w:szCs w:val="21"/>
          <w14:textFill>
            <w14:solidFill>
              <w14:schemeClr w14:val="tx1"/>
            </w14:solidFill>
          </w14:textFill>
        </w:rPr>
      </w:pPr>
      <w:r>
        <w:rPr>
          <w:rFonts w:ascii="思源黑体 CN Heavy" w:hAnsi="思源黑体 CN Heavy" w:eastAsia="思源黑体 CN Heavy" w:cs="微软雅黑"/>
          <w:b/>
          <w:sz w:val="24"/>
          <w:szCs w:val="21"/>
        </w:rPr>
        <w:t>道具尺寸：</w:t>
      </w:r>
      <w:r>
        <w:rPr>
          <w:rFonts w:hint="eastAsia" w:cs="微软雅黑"/>
          <w:color w:val="000000" w:themeColor="text1"/>
          <w:sz w:val="24"/>
          <w:szCs w:val="21"/>
          <w14:textFill>
            <w14:solidFill>
              <w14:schemeClr w14:val="tx1"/>
            </w14:solidFill>
          </w14:textFill>
        </w:rPr>
        <w:t>高度≥1</w:t>
      </w:r>
      <w:r>
        <w:rPr>
          <w:rFonts w:cs="微软雅黑"/>
          <w:color w:val="000000" w:themeColor="text1"/>
          <w:sz w:val="24"/>
          <w:szCs w:val="21"/>
          <w14:textFill>
            <w14:solidFill>
              <w14:schemeClr w14:val="tx1"/>
            </w14:solidFill>
          </w14:textFill>
        </w:rPr>
        <w:t>20mm</w:t>
      </w:r>
      <w:r>
        <w:rPr>
          <w:rFonts w:hint="eastAsia" w:cs="微软雅黑"/>
          <w:color w:val="000000" w:themeColor="text1"/>
          <w:sz w:val="24"/>
          <w:szCs w:val="21"/>
          <w14:textFill>
            <w14:solidFill>
              <w14:schemeClr w14:val="tx1"/>
            </w14:solidFill>
          </w14:textFill>
        </w:rPr>
        <w:t>，垂直投影面积≤直径6</w:t>
      </w:r>
      <w:r>
        <w:rPr>
          <w:rFonts w:cs="微软雅黑"/>
          <w:color w:val="000000" w:themeColor="text1"/>
          <w:sz w:val="24"/>
          <w:szCs w:val="21"/>
          <w14:textFill>
            <w14:solidFill>
              <w14:schemeClr w14:val="tx1"/>
            </w14:solidFill>
          </w14:textFill>
        </w:rPr>
        <w:t>0</w:t>
      </w:r>
      <w:r>
        <w:rPr>
          <w:rFonts w:hint="eastAsia" w:cs="微软雅黑"/>
          <w:color w:val="000000" w:themeColor="text1"/>
          <w:sz w:val="24"/>
          <w:szCs w:val="21"/>
          <w14:textFill>
            <w14:solidFill>
              <w14:schemeClr w14:val="tx1"/>
            </w14:solidFill>
          </w14:textFill>
        </w:rPr>
        <w:t>mm的圆形区域</w:t>
      </w:r>
    </w:p>
    <w:p>
      <w:pPr>
        <w:ind w:firstLine="482" w:firstLineChars="200"/>
        <w:jc w:val="left"/>
        <w:rPr>
          <w:rFonts w:cs="微软雅黑"/>
          <w:color w:val="000000" w:themeColor="text1"/>
          <w:sz w:val="24"/>
          <w:szCs w:val="21"/>
          <w14:textFill>
            <w14:solidFill>
              <w14:schemeClr w14:val="tx1"/>
            </w14:solidFill>
          </w14:textFill>
        </w:rPr>
      </w:pPr>
      <w:r>
        <w:rPr>
          <w:rFonts w:hint="eastAsia" w:ascii="思源黑体 CN Heavy" w:hAnsi="思源黑体 CN Heavy" w:eastAsia="思源黑体 CN Heavy" w:cs="微软雅黑"/>
          <w:b/>
          <w:sz w:val="24"/>
          <w:szCs w:val="21"/>
        </w:rPr>
        <w:t>颜色与材质</w:t>
      </w:r>
      <w:r>
        <w:rPr>
          <w:rFonts w:ascii="思源黑体 CN Heavy" w:hAnsi="思源黑体 CN Heavy" w:eastAsia="思源黑体 CN Heavy" w:cs="微软雅黑"/>
          <w:b/>
          <w:sz w:val="24"/>
          <w:szCs w:val="21"/>
        </w:rPr>
        <w:t>：</w:t>
      </w:r>
      <w:r>
        <w:rPr>
          <w:rFonts w:hint="eastAsia" w:cs="微软雅黑"/>
          <w:color w:val="000000" w:themeColor="text1"/>
          <w:sz w:val="24"/>
          <w:szCs w:val="21"/>
          <w14:textFill>
            <w14:solidFill>
              <w14:schemeClr w14:val="tx1"/>
            </w14:solidFill>
          </w14:textFill>
        </w:rPr>
        <w:t>不限制颜色与材质</w:t>
      </w:r>
    </w:p>
    <w:p>
      <w:pPr>
        <w:pStyle w:val="63"/>
      </w:pPr>
      <w:r>
        <w:rPr>
          <w:rFonts w:hint="eastAsia"/>
        </w:rPr>
        <w:t>任务道具</w:t>
      </w:r>
    </w:p>
    <w:p>
      <w:pPr>
        <w:pStyle w:val="63"/>
        <w:ind w:firstLine="482" w:firstLineChars="200"/>
      </w:pPr>
      <w:r>
        <w:rPr>
          <w:color w:val="auto"/>
        </w:rPr>
        <w:t>道具名称：</w:t>
      </w:r>
      <w:r>
        <w:rPr>
          <w:rFonts w:hint="eastAsia"/>
        </w:rPr>
        <w:t>物流配送器</w:t>
      </w:r>
      <w:r>
        <w:t xml:space="preserve"> </w:t>
      </w:r>
    </w:p>
    <w:p>
      <w:pPr>
        <w:ind w:firstLine="482" w:firstLineChars="200"/>
        <w:jc w:val="left"/>
        <w:rPr>
          <w:rFonts w:cs="微软雅黑"/>
          <w:color w:val="000000" w:themeColor="text1"/>
          <w:sz w:val="24"/>
          <w:szCs w:val="21"/>
          <w14:textFill>
            <w14:solidFill>
              <w14:schemeClr w14:val="tx1"/>
            </w14:solidFill>
          </w14:textFill>
        </w:rPr>
      </w:pPr>
      <w:r>
        <w:rPr>
          <w:rFonts w:ascii="思源黑体 CN Heavy" w:hAnsi="思源黑体 CN Heavy" w:eastAsia="思源黑体 CN Heavy" w:cs="微软雅黑"/>
          <w:b/>
          <w:sz w:val="24"/>
          <w:szCs w:val="21"/>
        </w:rPr>
        <w:t>道具介绍：</w:t>
      </w:r>
      <w:r>
        <w:rPr>
          <w:rFonts w:hint="eastAsia" w:cs="微软雅黑"/>
          <w:color w:val="000000" w:themeColor="text1"/>
          <w:sz w:val="24"/>
          <w:szCs w:val="21"/>
          <w14:textFill>
            <w14:solidFill>
              <w14:schemeClr w14:val="tx1"/>
            </w14:solidFill>
          </w14:textFill>
        </w:rPr>
        <w:t>由蓝色金属零件搭建而的成异形结构，其中有一部分可以平行运动的放置平台会放置一个红色或</w:t>
      </w:r>
      <w:r>
        <w:rPr>
          <w:rFonts w:cs="微软雅黑"/>
          <w:color w:val="000000" w:themeColor="text1"/>
          <w:sz w:val="24"/>
          <w:szCs w:val="21"/>
          <w14:textFill>
            <w14:solidFill>
              <w14:schemeClr w14:val="tx1"/>
            </w14:solidFill>
          </w14:textFill>
        </w:rPr>
        <w:t>蓝</w:t>
      </w:r>
      <w:r>
        <w:rPr>
          <w:rFonts w:hint="eastAsia" w:cs="微软雅黑"/>
          <w:color w:val="000000" w:themeColor="text1"/>
          <w:sz w:val="24"/>
          <w:szCs w:val="21"/>
          <w14:textFill>
            <w14:solidFill>
              <w14:schemeClr w14:val="tx1"/>
            </w14:solidFill>
          </w14:textFill>
        </w:rPr>
        <w:t>色</w:t>
      </w:r>
      <w:r>
        <w:rPr>
          <w:rFonts w:cs="微软雅黑"/>
          <w:color w:val="000000" w:themeColor="text1"/>
          <w:sz w:val="24"/>
          <w:szCs w:val="21"/>
          <w14:textFill>
            <w14:solidFill>
              <w14:schemeClr w14:val="tx1"/>
            </w14:solidFill>
          </w14:textFill>
        </w:rPr>
        <w:t>字母方块</w:t>
      </w:r>
    </w:p>
    <w:p>
      <w:pPr>
        <w:ind w:firstLine="482" w:firstLineChars="200"/>
        <w:jc w:val="left"/>
        <w:rPr>
          <w:rFonts w:cs="微软雅黑"/>
          <w:color w:val="000000" w:themeColor="text1"/>
          <w:sz w:val="24"/>
          <w:szCs w:val="21"/>
          <w14:textFill>
            <w14:solidFill>
              <w14:schemeClr w14:val="tx1"/>
            </w14:solidFill>
          </w14:textFill>
        </w:rPr>
      </w:pPr>
      <w:r>
        <w:rPr>
          <w:rFonts w:ascii="思源黑体 CN Heavy" w:hAnsi="思源黑体 CN Heavy" w:eastAsia="思源黑体 CN Heavy" w:cs="微软雅黑"/>
          <w:b/>
          <w:sz w:val="24"/>
          <w:szCs w:val="21"/>
        </w:rPr>
        <w:t>道具尺寸：</w:t>
      </w:r>
      <w:r>
        <w:rPr>
          <w:rFonts w:cs="微软雅黑"/>
          <w:color w:val="000000" w:themeColor="text1"/>
          <w:sz w:val="24"/>
          <w:szCs w:val="21"/>
          <w14:textFill>
            <w14:solidFill>
              <w14:schemeClr w14:val="tx1"/>
            </w14:solidFill>
          </w14:textFill>
        </w:rPr>
        <w:t>165*96*176mm</w:t>
      </w:r>
      <w:r>
        <w:rPr>
          <w:rFonts w:hint="eastAsia" w:cs="微软雅黑"/>
          <w:color w:val="000000" w:themeColor="text1"/>
          <w:sz w:val="24"/>
          <w:szCs w:val="21"/>
          <w14:textFill>
            <w14:solidFill>
              <w14:schemeClr w14:val="tx1"/>
            </w14:solidFill>
          </w14:textFill>
        </w:rPr>
        <w:t>（长、宽、高）</w:t>
      </w:r>
    </w:p>
    <w:p>
      <w:pPr>
        <w:ind w:firstLine="480" w:firstLineChars="200"/>
        <w:jc w:val="left"/>
        <w:rPr>
          <w:rFonts w:cs="微软雅黑"/>
          <w:color w:val="000000" w:themeColor="text1"/>
          <w:sz w:val="24"/>
          <w:szCs w:val="21"/>
          <w14:textFill>
            <w14:solidFill>
              <w14:schemeClr w14:val="tx1"/>
            </w14:solidFill>
          </w14:textFill>
        </w:rPr>
      </w:pPr>
      <w:r>
        <w:rPr>
          <w:rFonts w:cs="微软雅黑"/>
          <w:color w:val="000000" w:themeColor="text1"/>
          <w:sz w:val="24"/>
          <w:szCs w:val="21"/>
          <w14:textFill>
            <w14:solidFill>
              <w14:schemeClr w14:val="tx1"/>
            </w14:solidFill>
          </w14:textFill>
        </w:rPr>
        <w:drawing>
          <wp:anchor distT="0" distB="0" distL="114300" distR="114300" simplePos="0" relativeHeight="251696128" behindDoc="0" locked="0" layoutInCell="1" allowOverlap="1">
            <wp:simplePos x="0" y="0"/>
            <wp:positionH relativeFrom="margin">
              <wp:posOffset>1905</wp:posOffset>
            </wp:positionH>
            <wp:positionV relativeFrom="paragraph">
              <wp:posOffset>440055</wp:posOffset>
            </wp:positionV>
            <wp:extent cx="5278120" cy="1849755"/>
            <wp:effectExtent l="0" t="0" r="0" b="0"/>
            <wp:wrapTopAndBottom/>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278120" cy="1849755"/>
                    </a:xfrm>
                    <a:prstGeom prst="rect">
                      <a:avLst/>
                    </a:prstGeom>
                  </pic:spPr>
                </pic:pic>
              </a:graphicData>
            </a:graphic>
          </wp:anchor>
        </w:drawing>
      </w:r>
      <w:r>
        <w:rPr>
          <w:rFonts w:hint="eastAsia" w:ascii="思源黑体 CN Heavy" w:hAnsi="思源黑体 CN Heavy" w:eastAsia="思源黑体 CN Heavy" w:cs="微软雅黑"/>
          <w:b/>
          <w:sz w:val="24"/>
          <w:szCs w:val="21"/>
        </w:rPr>
        <w:t>颜色与材质</w:t>
      </w:r>
      <w:r>
        <w:rPr>
          <w:rFonts w:ascii="思源黑体 CN Heavy" w:hAnsi="思源黑体 CN Heavy" w:eastAsia="思源黑体 CN Heavy" w:cs="微软雅黑"/>
          <w:b/>
          <w:sz w:val="24"/>
          <w:szCs w:val="21"/>
        </w:rPr>
        <w:t>：</w:t>
      </w:r>
      <w:r>
        <w:rPr>
          <w:rFonts w:hint="eastAsia" w:cs="微软雅黑"/>
          <w:color w:val="000000" w:themeColor="text1"/>
          <w:sz w:val="24"/>
          <w:szCs w:val="21"/>
          <w14:textFill>
            <w14:solidFill>
              <w14:schemeClr w14:val="tx1"/>
            </w14:solidFill>
          </w14:textFill>
        </w:rPr>
        <w:t>蓝色金属零件、黑色亚克力</w:t>
      </w:r>
    </w:p>
    <w:p>
      <w:pPr>
        <w:pStyle w:val="30"/>
        <w:spacing w:after="156" w:afterLines="50"/>
        <w:ind w:firstLine="0"/>
        <w:jc w:val="center"/>
        <w:rPr>
          <w:bCs/>
          <w:color w:val="auto"/>
        </w:rPr>
      </w:pPr>
      <w:r>
        <w:rPr>
          <w:rFonts w:hint="eastAsia"/>
          <w:bCs/>
          <w:color w:val="auto"/>
        </w:rPr>
        <w:t>图</w:t>
      </w:r>
      <w:r>
        <w:rPr>
          <w:bCs/>
          <w:color w:val="auto"/>
        </w:rPr>
        <w:t>4.3-4</w:t>
      </w:r>
      <w:r>
        <w:rPr>
          <w:rFonts w:hint="eastAsia"/>
          <w:bCs/>
          <w:color w:val="auto"/>
        </w:rPr>
        <w:t>物流配送器示意图</w:t>
      </w:r>
    </w:p>
    <w:p>
      <w:pPr>
        <w:pStyle w:val="63"/>
        <w:ind w:firstLine="482" w:firstLineChars="200"/>
      </w:pPr>
      <w:r>
        <w:rPr>
          <w:color w:val="auto"/>
        </w:rPr>
        <w:t>道具名称：</w:t>
      </w:r>
      <w:r>
        <w:rPr>
          <w:rFonts w:hint="eastAsia"/>
        </w:rPr>
        <w:t>反物质燃料棒</w:t>
      </w:r>
      <w:r>
        <w:t xml:space="preserve"> </w:t>
      </w:r>
    </w:p>
    <w:p>
      <w:pPr>
        <w:ind w:firstLine="482" w:firstLineChars="200"/>
        <w:jc w:val="left"/>
        <w:rPr>
          <w:rFonts w:cs="微软雅黑"/>
          <w:color w:val="000000" w:themeColor="text1"/>
          <w:sz w:val="24"/>
          <w:szCs w:val="21"/>
          <w14:textFill>
            <w14:solidFill>
              <w14:schemeClr w14:val="tx1"/>
            </w14:solidFill>
          </w14:textFill>
        </w:rPr>
      </w:pPr>
      <w:r>
        <w:rPr>
          <w:rFonts w:ascii="思源黑体 CN Heavy" w:hAnsi="思源黑体 CN Heavy" w:eastAsia="思源黑体 CN Heavy" w:cs="微软雅黑"/>
          <w:b/>
          <w:sz w:val="24"/>
          <w:szCs w:val="21"/>
        </w:rPr>
        <w:t>道具介绍：</w:t>
      </w:r>
      <w:r>
        <w:rPr>
          <w:rFonts w:hint="eastAsia" w:cs="微软雅黑"/>
          <w:color w:val="000000" w:themeColor="text1"/>
          <w:sz w:val="24"/>
          <w:szCs w:val="21"/>
          <w14:textFill>
            <w14:solidFill>
              <w14:schemeClr w14:val="tx1"/>
            </w14:solidFill>
          </w14:textFill>
        </w:rPr>
        <w:t>由</w:t>
      </w:r>
      <w:r>
        <w:rPr>
          <w:rFonts w:cs="微软雅黑"/>
          <w:color w:val="000000" w:themeColor="text1"/>
          <w:sz w:val="24"/>
          <w:szCs w:val="21"/>
          <w14:textFill>
            <w14:solidFill>
              <w14:schemeClr w14:val="tx1"/>
            </w14:solidFill>
          </w14:textFill>
        </w:rPr>
        <w:t>5个平面组成，每个平面贴有</w:t>
      </w:r>
      <w:r>
        <w:rPr>
          <w:rFonts w:hint="eastAsia" w:cs="微软雅黑"/>
          <w:color w:val="000000" w:themeColor="text1"/>
          <w:sz w:val="24"/>
          <w:szCs w:val="21"/>
          <w14:textFill>
            <w14:solidFill>
              <w14:schemeClr w14:val="tx1"/>
            </w14:solidFill>
          </w14:textFill>
        </w:rPr>
        <w:t>“</w:t>
      </w:r>
      <w:r>
        <w:rPr>
          <w:rFonts w:cs="微软雅黑"/>
          <w:color w:val="000000" w:themeColor="text1"/>
          <w:sz w:val="24"/>
          <w:szCs w:val="21"/>
          <w14:textFill>
            <w14:solidFill>
              <w14:schemeClr w14:val="tx1"/>
            </w14:solidFill>
          </w14:textFill>
        </w:rPr>
        <w:t>色标</w:t>
      </w:r>
      <w:r>
        <w:rPr>
          <w:rFonts w:hint="eastAsia" w:cs="微软雅黑"/>
          <w:color w:val="000000" w:themeColor="text1"/>
          <w:sz w:val="24"/>
          <w:szCs w:val="21"/>
          <w14:textFill>
            <w14:solidFill>
              <w14:schemeClr w14:val="tx1"/>
            </w14:solidFill>
          </w14:textFill>
        </w:rPr>
        <w:t>”</w:t>
      </w:r>
      <w:r>
        <w:rPr>
          <w:rFonts w:cs="微软雅黑"/>
          <w:color w:val="000000" w:themeColor="text1"/>
          <w:sz w:val="24"/>
          <w:szCs w:val="21"/>
          <w14:textFill>
            <w14:solidFill>
              <w14:schemeClr w14:val="tx1"/>
            </w14:solidFill>
          </w14:textFill>
        </w:rPr>
        <w:t>、</w:t>
      </w:r>
      <w:r>
        <w:rPr>
          <w:rFonts w:hint="eastAsia" w:cs="微软雅黑"/>
          <w:color w:val="000000" w:themeColor="text1"/>
          <w:sz w:val="24"/>
          <w:szCs w:val="21"/>
          <w14:textFill>
            <w14:solidFill>
              <w14:schemeClr w14:val="tx1"/>
            </w14:solidFill>
          </w14:textFill>
        </w:rPr>
        <w:t>“</w:t>
      </w:r>
      <w:r>
        <w:rPr>
          <w:rFonts w:cs="微软雅黑"/>
          <w:color w:val="000000" w:themeColor="text1"/>
          <w:sz w:val="24"/>
          <w:szCs w:val="21"/>
          <w14:textFill>
            <w14:solidFill>
              <w14:schemeClr w14:val="tx1"/>
            </w14:solidFill>
          </w14:textFill>
        </w:rPr>
        <w:t>字母</w:t>
      </w:r>
      <w:r>
        <w:rPr>
          <w:rFonts w:hint="eastAsia" w:cs="微软雅黑"/>
          <w:color w:val="000000" w:themeColor="text1"/>
          <w:sz w:val="24"/>
          <w:szCs w:val="21"/>
          <w14:textFill>
            <w14:solidFill>
              <w14:schemeClr w14:val="tx1"/>
            </w14:solidFill>
          </w14:textFill>
        </w:rPr>
        <w:t>”</w:t>
      </w:r>
      <w:r>
        <w:rPr>
          <w:rFonts w:cs="微软雅黑"/>
          <w:color w:val="000000" w:themeColor="text1"/>
          <w:sz w:val="24"/>
          <w:szCs w:val="21"/>
          <w14:textFill>
            <w14:solidFill>
              <w14:schemeClr w14:val="tx1"/>
            </w14:solidFill>
          </w14:textFill>
        </w:rPr>
        <w:t>，可以转动，每次转动可以保持其中一面绝对平行向上；</w:t>
      </w:r>
    </w:p>
    <w:p>
      <w:pPr>
        <w:ind w:firstLine="482" w:firstLineChars="200"/>
        <w:jc w:val="left"/>
        <w:rPr>
          <w:rFonts w:cs="微软雅黑"/>
          <w:color w:val="000000" w:themeColor="text1"/>
          <w:sz w:val="24"/>
          <w:szCs w:val="21"/>
          <w14:textFill>
            <w14:solidFill>
              <w14:schemeClr w14:val="tx1"/>
            </w14:solidFill>
          </w14:textFill>
        </w:rPr>
      </w:pPr>
      <w:r>
        <w:rPr>
          <w:rFonts w:ascii="思源黑体 CN Heavy" w:hAnsi="思源黑体 CN Heavy" w:eastAsia="思源黑体 CN Heavy" w:cs="微软雅黑"/>
          <w:b/>
          <w:sz w:val="24"/>
          <w:szCs w:val="21"/>
        </w:rPr>
        <w:t>道具尺寸：</w:t>
      </w:r>
      <w:r>
        <w:rPr>
          <w:rFonts w:cs="微软雅黑"/>
          <w:color w:val="000000" w:themeColor="text1"/>
          <w:sz w:val="24"/>
          <w:szCs w:val="21"/>
          <w14:textFill>
            <w14:solidFill>
              <w14:schemeClr w14:val="tx1"/>
            </w14:solidFill>
          </w14:textFill>
        </w:rPr>
        <w:t>110*128*70</w:t>
      </w:r>
      <w:r>
        <w:rPr>
          <w:rFonts w:hint="eastAsia" w:cs="微软雅黑"/>
          <w:color w:val="000000" w:themeColor="text1"/>
          <w:sz w:val="24"/>
          <w:szCs w:val="21"/>
          <w14:textFill>
            <w14:solidFill>
              <w14:schemeClr w14:val="tx1"/>
            </w14:solidFill>
          </w14:textFill>
        </w:rPr>
        <w:t>mm；</w:t>
      </w:r>
    </w:p>
    <w:p>
      <w:pPr>
        <w:ind w:firstLine="482" w:firstLineChars="200"/>
        <w:jc w:val="left"/>
        <w:rPr>
          <w:rFonts w:cs="微软雅黑"/>
          <w:color w:val="000000" w:themeColor="text1"/>
          <w:sz w:val="24"/>
          <w:szCs w:val="21"/>
          <w14:textFill>
            <w14:solidFill>
              <w14:schemeClr w14:val="tx1"/>
            </w14:solidFill>
          </w14:textFill>
        </w:rPr>
      </w:pPr>
      <w:r>
        <w:rPr>
          <w:rFonts w:hint="eastAsia" w:ascii="思源黑体 CN Heavy" w:hAnsi="思源黑体 CN Heavy" w:eastAsia="思源黑体 CN Heavy" w:cs="微软雅黑"/>
          <w:b/>
          <w:sz w:val="24"/>
          <w:szCs w:val="21"/>
          <w:lang w:val="zh-CN"/>
        </w:rPr>
        <w:drawing>
          <wp:anchor distT="0" distB="0" distL="114300" distR="114300" simplePos="0" relativeHeight="251671552" behindDoc="0" locked="0" layoutInCell="1" allowOverlap="1">
            <wp:simplePos x="0" y="0"/>
            <wp:positionH relativeFrom="margin">
              <wp:align>center</wp:align>
            </wp:positionH>
            <wp:positionV relativeFrom="paragraph">
              <wp:posOffset>304800</wp:posOffset>
            </wp:positionV>
            <wp:extent cx="3308985" cy="2085975"/>
            <wp:effectExtent l="0" t="0" r="5715" b="9525"/>
            <wp:wrapTopAndBottom/>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308985" cy="2085975"/>
                    </a:xfrm>
                    <a:prstGeom prst="rect">
                      <a:avLst/>
                    </a:prstGeom>
                  </pic:spPr>
                </pic:pic>
              </a:graphicData>
            </a:graphic>
          </wp:anchor>
        </w:drawing>
      </w:r>
      <w:r>
        <w:rPr>
          <w:rFonts w:hint="eastAsia" w:ascii="思源黑体 CN Heavy" w:hAnsi="思源黑体 CN Heavy" w:eastAsia="思源黑体 CN Heavy" w:cs="微软雅黑"/>
          <w:b/>
          <w:sz w:val="24"/>
          <w:szCs w:val="21"/>
        </w:rPr>
        <w:t>颜色与材质：</w:t>
      </w:r>
      <w:r>
        <w:rPr>
          <w:rFonts w:hint="eastAsia" w:cs="微软雅黑"/>
          <w:color w:val="000000" w:themeColor="text1"/>
          <w:sz w:val="24"/>
          <w:szCs w:val="21"/>
          <w14:textFill>
            <w14:solidFill>
              <w14:schemeClr w14:val="tx1"/>
            </w14:solidFill>
          </w14:textFill>
        </w:rPr>
        <w:t>蓝色金属零件、黑色亚克力</w:t>
      </w:r>
    </w:p>
    <w:p>
      <w:pPr>
        <w:pStyle w:val="30"/>
        <w:spacing w:after="156" w:afterLines="50"/>
        <w:ind w:firstLine="0"/>
        <w:jc w:val="center"/>
        <w:rPr>
          <w:bCs/>
          <w:color w:val="auto"/>
        </w:rPr>
      </w:pPr>
      <w:r>
        <w:rPr>
          <w:rFonts w:hint="eastAsia"/>
          <w:bCs/>
          <w:color w:val="auto"/>
        </w:rPr>
        <w:t>图</w:t>
      </w:r>
      <w:r>
        <w:rPr>
          <w:rFonts w:hint="eastAsia"/>
          <w:bCs/>
          <w:color w:val="auto"/>
          <w:lang w:val="en-US" w:eastAsia="zh-CN"/>
        </w:rPr>
        <w:t>1</w:t>
      </w:r>
      <w:r>
        <w:rPr>
          <w:bCs/>
          <w:color w:val="auto"/>
        </w:rPr>
        <w:t xml:space="preserve">.3-5 </w:t>
      </w:r>
      <w:r>
        <w:rPr>
          <w:rFonts w:hint="eastAsia"/>
          <w:bCs/>
          <w:color w:val="auto"/>
        </w:rPr>
        <w:t>反物质燃料棒示意图</w:t>
      </w:r>
    </w:p>
    <w:p>
      <w:pPr>
        <w:pStyle w:val="30"/>
        <w:spacing w:after="156" w:afterLines="50"/>
        <w:ind w:firstLine="0"/>
        <w:jc w:val="center"/>
        <w:rPr>
          <w:bCs/>
          <w:color w:val="auto"/>
        </w:rPr>
      </w:pPr>
    </w:p>
    <w:p>
      <w:pPr>
        <w:pStyle w:val="63"/>
        <w:ind w:firstLine="482" w:firstLineChars="200"/>
      </w:pPr>
      <w:r>
        <w:rPr>
          <w:color w:val="auto"/>
        </w:rPr>
        <w:t>道具名称：</w:t>
      </w:r>
      <w:r>
        <w:rPr>
          <w:rFonts w:hint="eastAsia"/>
        </w:rPr>
        <w:t>高制造台</w:t>
      </w:r>
    </w:p>
    <w:p>
      <w:pPr>
        <w:ind w:firstLine="482" w:firstLineChars="200"/>
        <w:jc w:val="left"/>
        <w:rPr>
          <w:rFonts w:cs="微软雅黑"/>
          <w:color w:val="000000" w:themeColor="text1"/>
          <w:sz w:val="24"/>
          <w:szCs w:val="21"/>
          <w14:textFill>
            <w14:solidFill>
              <w14:schemeClr w14:val="tx1"/>
            </w14:solidFill>
          </w14:textFill>
        </w:rPr>
      </w:pPr>
      <w:r>
        <w:rPr>
          <w:rFonts w:ascii="思源黑体 CN Heavy" w:hAnsi="思源黑体 CN Heavy" w:eastAsia="思源黑体 CN Heavy" w:cs="微软雅黑"/>
          <w:b/>
          <w:sz w:val="24"/>
          <w:szCs w:val="21"/>
        </w:rPr>
        <w:t>道具介绍：</w:t>
      </w:r>
      <w:r>
        <w:rPr>
          <w:rFonts w:cs="微软雅黑"/>
          <w:color w:val="000000" w:themeColor="text1"/>
          <w:sz w:val="24"/>
          <w:szCs w:val="21"/>
          <w14:textFill>
            <w14:solidFill>
              <w14:schemeClr w14:val="tx1"/>
            </w14:solidFill>
          </w14:textFill>
        </w:rPr>
        <w:t>由蓝色零件以及黑色亚克力组成其平台可放置最大边长为70mm的方块，其底座不可移动；</w:t>
      </w:r>
    </w:p>
    <w:p>
      <w:pPr>
        <w:jc w:val="left"/>
        <w:rPr>
          <w:rFonts w:cs="微软雅黑"/>
          <w:color w:val="000000" w:themeColor="text1"/>
          <w:sz w:val="24"/>
          <w:szCs w:val="21"/>
          <w14:textFill>
            <w14:solidFill>
              <w14:schemeClr w14:val="tx1"/>
            </w14:solidFill>
          </w14:textFill>
        </w:rPr>
      </w:pPr>
      <w:r>
        <w:rPr>
          <w:rFonts w:ascii="思源黑体 CN Heavy" w:hAnsi="思源黑体 CN Heavy" w:eastAsia="思源黑体 CN Heavy" w:cs="微软雅黑"/>
          <w:b/>
          <w:sz w:val="24"/>
          <w:szCs w:val="21"/>
        </w:rPr>
        <w:tab/>
      </w:r>
      <w:r>
        <w:rPr>
          <w:rFonts w:ascii="思源黑体 CN Heavy" w:hAnsi="思源黑体 CN Heavy" w:eastAsia="思源黑体 CN Heavy" w:cs="微软雅黑"/>
          <w:b/>
          <w:sz w:val="24"/>
          <w:szCs w:val="21"/>
        </w:rPr>
        <w:t>道具尺寸：</w:t>
      </w:r>
      <w:r>
        <w:rPr>
          <w:rFonts w:cs="微软雅黑"/>
          <w:color w:val="000000" w:themeColor="text1"/>
          <w:sz w:val="24"/>
          <w:szCs w:val="21"/>
          <w14:textFill>
            <w14:solidFill>
              <w14:schemeClr w14:val="tx1"/>
            </w14:solidFill>
          </w14:textFill>
        </w:rPr>
        <w:t>96*96*100mm</w:t>
      </w:r>
    </w:p>
    <w:p>
      <w:pPr>
        <w:ind w:firstLine="482" w:firstLineChars="200"/>
        <w:jc w:val="left"/>
        <w:rPr>
          <w:rFonts w:cs="微软雅黑"/>
          <w:color w:val="000000" w:themeColor="text1"/>
          <w:sz w:val="24"/>
          <w:szCs w:val="21"/>
          <w14:textFill>
            <w14:solidFill>
              <w14:schemeClr w14:val="tx1"/>
            </w14:solidFill>
          </w14:textFill>
        </w:rPr>
      </w:pPr>
      <w:r>
        <w:rPr>
          <w:rFonts w:hint="eastAsia" w:ascii="思源黑体 CN Heavy" w:hAnsi="思源黑体 CN Heavy" w:eastAsia="思源黑体 CN Heavy" w:cs="微软雅黑"/>
          <w:b/>
          <w:sz w:val="24"/>
          <w:szCs w:val="21"/>
          <w:lang w:val="zh-CN"/>
        </w:rPr>
        <w:drawing>
          <wp:anchor distT="0" distB="0" distL="114300" distR="114300" simplePos="0" relativeHeight="251672576" behindDoc="0" locked="0" layoutInCell="1" allowOverlap="1">
            <wp:simplePos x="0" y="0"/>
            <wp:positionH relativeFrom="margin">
              <wp:align>center</wp:align>
            </wp:positionH>
            <wp:positionV relativeFrom="paragraph">
              <wp:posOffset>320040</wp:posOffset>
            </wp:positionV>
            <wp:extent cx="1911350" cy="2110740"/>
            <wp:effectExtent l="0" t="0" r="0" b="0"/>
            <wp:wrapTopAndBottom/>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24" cstate="print">
                      <a:extLst>
                        <a:ext uri="{28A0092B-C50C-407E-A947-70E740481C1C}">
                          <a14:useLocalDpi xmlns:a14="http://schemas.microsoft.com/office/drawing/2010/main" val="0"/>
                        </a:ext>
                      </a:extLst>
                    </a:blip>
                    <a:srcRect l="25072" r="25072"/>
                    <a:stretch>
                      <a:fillRect/>
                    </a:stretch>
                  </pic:blipFill>
                  <pic:spPr>
                    <a:xfrm>
                      <a:off x="0" y="0"/>
                      <a:ext cx="1911608" cy="2110740"/>
                    </a:xfrm>
                    <a:prstGeom prst="rect">
                      <a:avLst/>
                    </a:prstGeom>
                  </pic:spPr>
                </pic:pic>
              </a:graphicData>
            </a:graphic>
          </wp:anchor>
        </w:drawing>
      </w:r>
      <w:r>
        <w:rPr>
          <w:rFonts w:hint="eastAsia" w:ascii="思源黑体 CN Heavy" w:hAnsi="思源黑体 CN Heavy" w:eastAsia="思源黑体 CN Heavy" w:cs="微软雅黑"/>
          <w:b/>
          <w:sz w:val="24"/>
          <w:szCs w:val="21"/>
        </w:rPr>
        <w:t>颜色与材质：</w:t>
      </w:r>
      <w:r>
        <w:rPr>
          <w:rFonts w:hint="eastAsia" w:cs="微软雅黑"/>
          <w:color w:val="000000" w:themeColor="text1"/>
          <w:sz w:val="24"/>
          <w:szCs w:val="21"/>
          <w14:textFill>
            <w14:solidFill>
              <w14:schemeClr w14:val="tx1"/>
            </w14:solidFill>
          </w14:textFill>
        </w:rPr>
        <w:t>蓝色金属零件、黑色亚克力</w:t>
      </w:r>
    </w:p>
    <w:p>
      <w:pPr>
        <w:pStyle w:val="30"/>
        <w:spacing w:after="156" w:afterLines="50"/>
        <w:ind w:firstLine="0"/>
        <w:jc w:val="center"/>
        <w:rPr>
          <w:bCs/>
          <w:color w:val="auto"/>
        </w:rPr>
      </w:pPr>
      <w:r>
        <w:rPr>
          <w:rFonts w:hint="eastAsia"/>
          <w:bCs/>
          <w:color w:val="auto"/>
        </w:rPr>
        <w:t>图</w:t>
      </w:r>
      <w:r>
        <w:rPr>
          <w:rFonts w:hint="eastAsia"/>
          <w:bCs/>
          <w:color w:val="auto"/>
          <w:lang w:val="en-US" w:eastAsia="zh-CN"/>
        </w:rPr>
        <w:t>1</w:t>
      </w:r>
      <w:r>
        <w:rPr>
          <w:bCs/>
          <w:color w:val="auto"/>
        </w:rPr>
        <w:t>.3-6</w:t>
      </w:r>
      <w:r>
        <w:rPr>
          <w:rFonts w:hint="eastAsia"/>
          <w:bCs/>
          <w:color w:val="auto"/>
        </w:rPr>
        <w:t>高制造台示意图</w:t>
      </w:r>
    </w:p>
    <w:p>
      <w:pPr>
        <w:pStyle w:val="63"/>
        <w:ind w:firstLine="482" w:firstLineChars="200"/>
      </w:pPr>
      <w:r>
        <w:rPr>
          <w:color w:val="auto"/>
        </w:rPr>
        <w:t>道具名称：</w:t>
      </w:r>
      <w:r>
        <w:rPr>
          <w:rFonts w:hint="eastAsia"/>
        </w:rPr>
        <w:t>低制造台</w:t>
      </w:r>
    </w:p>
    <w:p>
      <w:pPr>
        <w:ind w:firstLine="482" w:firstLineChars="200"/>
        <w:jc w:val="left"/>
        <w:rPr>
          <w:rFonts w:cs="微软雅黑"/>
          <w:color w:val="000000" w:themeColor="text1"/>
          <w:sz w:val="24"/>
          <w:szCs w:val="21"/>
          <w14:textFill>
            <w14:solidFill>
              <w14:schemeClr w14:val="tx1"/>
            </w14:solidFill>
          </w14:textFill>
        </w:rPr>
      </w:pPr>
      <w:r>
        <w:rPr>
          <w:rFonts w:ascii="思源黑体 CN Heavy" w:hAnsi="思源黑体 CN Heavy" w:eastAsia="思源黑体 CN Heavy" w:cs="微软雅黑"/>
          <w:b/>
          <w:sz w:val="24"/>
          <w:szCs w:val="21"/>
        </w:rPr>
        <w:t>道具介绍：</w:t>
      </w:r>
      <w:r>
        <w:rPr>
          <w:rFonts w:hint="eastAsia" w:cs="微软雅黑"/>
          <w:color w:val="000000" w:themeColor="text1"/>
          <w:sz w:val="24"/>
          <w:szCs w:val="21"/>
          <w14:textFill>
            <w14:solidFill>
              <w14:schemeClr w14:val="tx1"/>
            </w14:solidFill>
          </w14:textFill>
        </w:rPr>
        <w:t>由黑色亚克力组成，底座可以移动，底部粘有引磁片，可以放置在磁铁上；</w:t>
      </w:r>
    </w:p>
    <w:p>
      <w:pPr>
        <w:ind w:firstLine="482" w:firstLineChars="200"/>
        <w:jc w:val="left"/>
        <w:rPr>
          <w:rFonts w:cs="微软雅黑"/>
          <w:color w:val="000000" w:themeColor="text1"/>
          <w:sz w:val="24"/>
          <w:szCs w:val="21"/>
          <w14:textFill>
            <w14:solidFill>
              <w14:schemeClr w14:val="tx1"/>
            </w14:solidFill>
          </w14:textFill>
        </w:rPr>
      </w:pPr>
      <w:r>
        <w:rPr>
          <w:rFonts w:ascii="思源黑体 CN Heavy" w:hAnsi="思源黑体 CN Heavy" w:eastAsia="思源黑体 CN Heavy" w:cs="微软雅黑"/>
          <w:b/>
          <w:sz w:val="24"/>
          <w:szCs w:val="21"/>
        </w:rPr>
        <w:t>道具尺寸：</w:t>
      </w:r>
      <w:r>
        <w:rPr>
          <w:rFonts w:cs="微软雅黑"/>
          <w:color w:val="000000" w:themeColor="text1"/>
          <w:sz w:val="24"/>
          <w:szCs w:val="21"/>
          <w14:textFill>
            <w14:solidFill>
              <w14:schemeClr w14:val="tx1"/>
            </w14:solidFill>
          </w14:textFill>
        </w:rPr>
        <w:t>96*96*42mm</w:t>
      </w:r>
    </w:p>
    <w:p>
      <w:pPr>
        <w:ind w:firstLine="480" w:firstLineChars="200"/>
        <w:jc w:val="left"/>
        <w:rPr>
          <w:rFonts w:cs="微软雅黑"/>
          <w:color w:val="000000" w:themeColor="text1"/>
          <w:sz w:val="24"/>
          <w:szCs w:val="21"/>
          <w14:textFill>
            <w14:solidFill>
              <w14:schemeClr w14:val="tx1"/>
            </w14:solidFill>
          </w14:textFill>
        </w:rPr>
      </w:pPr>
      <w:r>
        <w:rPr>
          <w:rFonts w:hint="eastAsia" w:cs="微软雅黑"/>
          <w:color w:val="000000" w:themeColor="text1"/>
          <w:sz w:val="24"/>
          <w:szCs w:val="21"/>
          <w14:textFill>
            <w14:solidFill>
              <w14:schemeClr w14:val="tx1"/>
            </w14:solidFill>
          </w14:textFill>
        </w:rPr>
        <w:drawing>
          <wp:anchor distT="0" distB="0" distL="114300" distR="114300" simplePos="0" relativeHeight="251697152" behindDoc="0" locked="0" layoutInCell="1" allowOverlap="1">
            <wp:simplePos x="0" y="0"/>
            <wp:positionH relativeFrom="margin">
              <wp:align>center</wp:align>
            </wp:positionH>
            <wp:positionV relativeFrom="paragraph">
              <wp:posOffset>269875</wp:posOffset>
            </wp:positionV>
            <wp:extent cx="3286125" cy="1808480"/>
            <wp:effectExtent l="0" t="0" r="0" b="0"/>
            <wp:wrapTopAndBottom/>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286125" cy="1808480"/>
                    </a:xfrm>
                    <a:prstGeom prst="rect">
                      <a:avLst/>
                    </a:prstGeom>
                  </pic:spPr>
                </pic:pic>
              </a:graphicData>
            </a:graphic>
          </wp:anchor>
        </w:drawing>
      </w:r>
      <w:r>
        <w:rPr>
          <w:rFonts w:hint="eastAsia" w:ascii="思源黑体 CN Heavy" w:hAnsi="思源黑体 CN Heavy" w:eastAsia="思源黑体 CN Heavy" w:cs="微软雅黑"/>
          <w:b/>
          <w:sz w:val="24"/>
          <w:szCs w:val="21"/>
        </w:rPr>
        <w:t>颜色与材质：</w:t>
      </w:r>
      <w:r>
        <w:rPr>
          <w:rFonts w:hint="eastAsia" w:cs="微软雅黑"/>
          <w:color w:val="000000" w:themeColor="text1"/>
          <w:sz w:val="24"/>
          <w:szCs w:val="21"/>
          <w14:textFill>
            <w14:solidFill>
              <w14:schemeClr w14:val="tx1"/>
            </w14:solidFill>
          </w14:textFill>
        </w:rPr>
        <w:t>蓝色金属零件、黑色亚克力</w:t>
      </w:r>
    </w:p>
    <w:p>
      <w:pPr>
        <w:pStyle w:val="30"/>
        <w:spacing w:after="156" w:afterLines="50"/>
        <w:ind w:firstLine="0"/>
        <w:jc w:val="center"/>
      </w:pPr>
      <w:r>
        <w:rPr>
          <w:rFonts w:hint="eastAsia"/>
          <w:bCs/>
        </w:rPr>
        <w:t>图</w:t>
      </w:r>
      <w:r>
        <w:rPr>
          <w:rFonts w:hint="eastAsia"/>
          <w:bCs/>
          <w:lang w:val="en-US" w:eastAsia="zh-CN"/>
        </w:rPr>
        <w:t>1</w:t>
      </w:r>
      <w:r>
        <w:rPr>
          <w:bCs/>
        </w:rPr>
        <w:t>.3-7</w:t>
      </w:r>
      <w:r>
        <w:rPr>
          <w:rFonts w:hint="eastAsia"/>
          <w:bCs/>
        </w:rPr>
        <w:t>低制造台示意图</w:t>
      </w:r>
    </w:p>
    <w:p>
      <w:pPr>
        <w:pStyle w:val="63"/>
        <w:ind w:firstLine="482" w:firstLineChars="200"/>
      </w:pPr>
      <w:r>
        <w:rPr>
          <w:color w:val="auto"/>
        </w:rPr>
        <w:t>道具名称：</w:t>
      </w:r>
      <w:r>
        <w:rPr>
          <w:rFonts w:hint="eastAsia"/>
        </w:rPr>
        <w:t>资源转换器</w:t>
      </w:r>
      <w:r>
        <w:t xml:space="preserve"> </w:t>
      </w:r>
    </w:p>
    <w:p>
      <w:pPr>
        <w:ind w:firstLine="482" w:firstLineChars="200"/>
        <w:jc w:val="left"/>
        <w:rPr>
          <w:rFonts w:cs="微软雅黑"/>
          <w:color w:val="000000" w:themeColor="text1"/>
          <w:sz w:val="24"/>
          <w:szCs w:val="21"/>
          <w14:textFill>
            <w14:solidFill>
              <w14:schemeClr w14:val="tx1"/>
            </w14:solidFill>
          </w14:textFill>
        </w:rPr>
      </w:pPr>
      <w:r>
        <w:rPr>
          <w:rFonts w:ascii="思源黑体 CN Heavy" w:hAnsi="思源黑体 CN Heavy" w:eastAsia="思源黑体 CN Heavy" w:cs="微软雅黑"/>
          <w:b/>
          <w:sz w:val="24"/>
          <w:szCs w:val="21"/>
        </w:rPr>
        <w:t>道具介绍：</w:t>
      </w:r>
      <w:r>
        <w:rPr>
          <w:rFonts w:hint="eastAsia" w:cs="微软雅黑"/>
          <w:color w:val="000000" w:themeColor="text1"/>
          <w:sz w:val="24"/>
          <w:szCs w:val="21"/>
          <w14:textFill>
            <w14:solidFill>
              <w14:schemeClr w14:val="tx1"/>
            </w14:solidFill>
          </w14:textFill>
        </w:rPr>
        <w:t>由蓝色金属和黑色亚克力组成，嵌入方块的底座可以旋转，在底座下放入方块，可以使底座水平；</w:t>
      </w:r>
    </w:p>
    <w:p>
      <w:pPr>
        <w:ind w:firstLine="482" w:firstLineChars="200"/>
        <w:jc w:val="left"/>
        <w:rPr>
          <w:rFonts w:cs="微软雅黑"/>
          <w:color w:val="000000" w:themeColor="text1"/>
          <w:sz w:val="24"/>
          <w:szCs w:val="21"/>
          <w14:textFill>
            <w14:solidFill>
              <w14:schemeClr w14:val="tx1"/>
            </w14:solidFill>
          </w14:textFill>
        </w:rPr>
      </w:pPr>
      <w:r>
        <w:rPr>
          <w:rFonts w:ascii="思源黑体 CN Heavy" w:hAnsi="思源黑体 CN Heavy" w:eastAsia="思源黑体 CN Heavy" w:cs="微软雅黑"/>
          <w:b/>
          <w:sz w:val="24"/>
          <w:szCs w:val="21"/>
        </w:rPr>
        <w:t>道具尺寸：</w:t>
      </w:r>
      <w:r>
        <w:rPr>
          <w:rFonts w:cs="微软雅黑"/>
          <w:color w:val="000000" w:themeColor="text1"/>
          <w:sz w:val="24"/>
          <w:szCs w:val="21"/>
          <w14:textFill>
            <w14:solidFill>
              <w14:schemeClr w14:val="tx1"/>
            </w14:solidFill>
          </w14:textFill>
        </w:rPr>
        <w:t>108*124*157 mm</w:t>
      </w:r>
    </w:p>
    <w:p>
      <w:pPr>
        <w:ind w:firstLine="402" w:firstLineChars="200"/>
        <w:jc w:val="left"/>
        <w:rPr>
          <w:rFonts w:cs="微软雅黑"/>
          <w:color w:val="000000" w:themeColor="text1"/>
          <w:sz w:val="24"/>
          <w:szCs w:val="21"/>
          <w14:textFill>
            <w14:solidFill>
              <w14:schemeClr w14:val="tx1"/>
            </w14:solidFill>
          </w14:textFill>
        </w:rPr>
      </w:pPr>
      <w:r>
        <w:rPr>
          <w:rFonts w:hint="eastAsia" w:ascii="思源黑体 CN Heavy" w:hAnsi="思源黑体 CN Heavy" w:eastAsia="思源黑体 CN Heavy"/>
          <w:b/>
        </w:rPr>
        <w:drawing>
          <wp:anchor distT="0" distB="0" distL="114300" distR="114300" simplePos="0" relativeHeight="251673600" behindDoc="0" locked="0" layoutInCell="1" allowOverlap="1">
            <wp:simplePos x="0" y="0"/>
            <wp:positionH relativeFrom="margin">
              <wp:posOffset>-323215</wp:posOffset>
            </wp:positionH>
            <wp:positionV relativeFrom="paragraph">
              <wp:posOffset>232410</wp:posOffset>
            </wp:positionV>
            <wp:extent cx="6047105" cy="1628775"/>
            <wp:effectExtent l="0" t="0" r="0" b="0"/>
            <wp:wrapTopAndBottom/>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047174" cy="1628775"/>
                    </a:xfrm>
                    <a:prstGeom prst="rect">
                      <a:avLst/>
                    </a:prstGeom>
                  </pic:spPr>
                </pic:pic>
              </a:graphicData>
            </a:graphic>
          </wp:anchor>
        </w:drawing>
      </w:r>
      <w:r>
        <w:rPr>
          <w:rFonts w:hint="eastAsia" w:ascii="思源黑体 CN Heavy" w:hAnsi="思源黑体 CN Heavy" w:eastAsia="思源黑体 CN Heavy" w:cs="微软雅黑"/>
          <w:b/>
          <w:sz w:val="24"/>
          <w:szCs w:val="21"/>
        </w:rPr>
        <w:t>颜色与尺寸：</w:t>
      </w:r>
      <w:r>
        <w:rPr>
          <w:rFonts w:hint="eastAsia" w:cs="微软雅黑"/>
          <w:color w:val="000000" w:themeColor="text1"/>
          <w:sz w:val="24"/>
          <w:szCs w:val="21"/>
          <w14:textFill>
            <w14:solidFill>
              <w14:schemeClr w14:val="tx1"/>
            </w14:solidFill>
          </w14:textFill>
        </w:rPr>
        <w:t>蓝色金属零件、黑色亚克力</w:t>
      </w:r>
    </w:p>
    <w:p>
      <w:pPr>
        <w:pStyle w:val="30"/>
        <w:spacing w:after="156" w:afterLines="50"/>
        <w:ind w:firstLine="0"/>
        <w:jc w:val="center"/>
        <w:rPr>
          <w:bCs/>
          <w:color w:val="auto"/>
        </w:rPr>
      </w:pPr>
      <w:r>
        <w:rPr>
          <w:rFonts w:hint="eastAsia"/>
          <w:bCs/>
          <w:color w:val="auto"/>
        </w:rPr>
        <w:t>图</w:t>
      </w:r>
      <w:r>
        <w:rPr>
          <w:rFonts w:hint="eastAsia"/>
          <w:bCs/>
          <w:color w:val="auto"/>
          <w:lang w:val="en-US" w:eastAsia="zh-CN"/>
        </w:rPr>
        <w:t>1</w:t>
      </w:r>
      <w:r>
        <w:rPr>
          <w:bCs/>
          <w:color w:val="auto"/>
        </w:rPr>
        <w:t>.3-8</w:t>
      </w:r>
      <w:r>
        <w:rPr>
          <w:rFonts w:hint="eastAsia"/>
          <w:bCs/>
          <w:color w:val="auto"/>
        </w:rPr>
        <w:t>资源转换器示意图</w:t>
      </w:r>
    </w:p>
    <w:p>
      <w:pPr>
        <w:pStyle w:val="63"/>
        <w:ind w:firstLine="482" w:firstLineChars="200"/>
      </w:pPr>
      <w:r>
        <w:rPr>
          <w:color w:val="auto"/>
        </w:rPr>
        <w:t>道具名称：</w:t>
      </w:r>
      <w:r>
        <w:rPr>
          <w:rFonts w:hint="eastAsia"/>
        </w:rPr>
        <w:t>高速分拣器</w:t>
      </w:r>
    </w:p>
    <w:p>
      <w:pPr>
        <w:ind w:firstLine="482" w:firstLineChars="200"/>
        <w:jc w:val="left"/>
        <w:rPr>
          <w:rFonts w:cs="微软雅黑"/>
          <w:color w:val="000000" w:themeColor="text1"/>
          <w:sz w:val="24"/>
          <w:szCs w:val="21"/>
          <w14:textFill>
            <w14:solidFill>
              <w14:schemeClr w14:val="tx1"/>
            </w14:solidFill>
          </w14:textFill>
        </w:rPr>
      </w:pPr>
      <w:r>
        <w:rPr>
          <w:rFonts w:ascii="思源黑体 CN Heavy" w:hAnsi="思源黑体 CN Heavy" w:eastAsia="思源黑体 CN Heavy" w:cs="微软雅黑"/>
          <w:b/>
          <w:sz w:val="24"/>
          <w:szCs w:val="21"/>
        </w:rPr>
        <w:t>道具介绍：</w:t>
      </w:r>
      <w:r>
        <w:rPr>
          <w:rFonts w:hint="eastAsia" w:cs="微软雅黑"/>
          <w:color w:val="000000" w:themeColor="text1"/>
          <w:sz w:val="24"/>
          <w:szCs w:val="21"/>
          <w14:textFill>
            <w14:solidFill>
              <w14:schemeClr w14:val="tx1"/>
            </w14:solidFill>
          </w14:textFill>
        </w:rPr>
        <w:t>由蓝色金属零件搭建而成的异形结构，安装在场地中央边框上；带有滑轨装置，可以将低阶</w:t>
      </w:r>
      <w:r>
        <w:rPr>
          <w:rFonts w:cs="微软雅黑"/>
          <w:color w:val="000000" w:themeColor="text1"/>
          <w:sz w:val="24"/>
          <w:szCs w:val="21"/>
          <w14:textFill>
            <w14:solidFill>
              <w14:schemeClr w14:val="tx1"/>
            </w14:solidFill>
          </w14:textFill>
        </w:rPr>
        <w:t>放置台放置在滑轨上滑动至手动区域</w:t>
      </w:r>
    </w:p>
    <w:p>
      <w:pPr>
        <w:ind w:firstLine="482" w:firstLineChars="200"/>
        <w:jc w:val="left"/>
        <w:rPr>
          <w:rFonts w:cs="微软雅黑"/>
          <w:color w:val="000000" w:themeColor="text1"/>
          <w:sz w:val="24"/>
          <w:szCs w:val="21"/>
          <w14:textFill>
            <w14:solidFill>
              <w14:schemeClr w14:val="tx1"/>
            </w14:solidFill>
          </w14:textFill>
        </w:rPr>
      </w:pPr>
      <w:r>
        <w:rPr>
          <w:rFonts w:ascii="思源黑体 CN Heavy" w:hAnsi="思源黑体 CN Heavy" w:eastAsia="思源黑体 CN Heavy" w:cs="微软雅黑"/>
          <w:b/>
          <w:sz w:val="24"/>
          <w:szCs w:val="21"/>
        </w:rPr>
        <w:t>道具尺寸：</w:t>
      </w:r>
      <w:r>
        <w:rPr>
          <w:rFonts w:cs="微软雅黑"/>
          <w:bCs/>
          <w:color w:val="000000" w:themeColor="text1"/>
          <w:sz w:val="24"/>
          <w:szCs w:val="21"/>
          <w14:textFill>
            <w14:solidFill>
              <w14:schemeClr w14:val="tx1"/>
            </w14:solidFill>
          </w14:textFill>
        </w:rPr>
        <w:t xml:space="preserve">300*50*78 </w:t>
      </w:r>
      <w:r>
        <w:rPr>
          <w:rFonts w:cs="微软雅黑"/>
          <w:color w:val="000000" w:themeColor="text1"/>
          <w:sz w:val="24"/>
          <w:szCs w:val="21"/>
          <w14:textFill>
            <w14:solidFill>
              <w14:schemeClr w14:val="tx1"/>
            </w14:solidFill>
          </w14:textFill>
        </w:rPr>
        <w:t xml:space="preserve">mm </w:t>
      </w:r>
    </w:p>
    <w:p>
      <w:pPr>
        <w:ind w:firstLine="400" w:firstLineChars="200"/>
        <w:jc w:val="left"/>
        <w:rPr>
          <w:rFonts w:cs="微软雅黑"/>
          <w:color w:val="000000" w:themeColor="text1"/>
          <w:sz w:val="24"/>
          <w:szCs w:val="21"/>
          <w14:textFill>
            <w14:solidFill>
              <w14:schemeClr w14:val="tx1"/>
            </w14:solidFill>
          </w14:textFill>
        </w:rPr>
      </w:pPr>
      <w:r>
        <w:drawing>
          <wp:anchor distT="0" distB="0" distL="114300" distR="114300" simplePos="0" relativeHeight="251679744" behindDoc="0" locked="0" layoutInCell="1" allowOverlap="1">
            <wp:simplePos x="0" y="0"/>
            <wp:positionH relativeFrom="margin">
              <wp:align>center</wp:align>
            </wp:positionH>
            <wp:positionV relativeFrom="paragraph">
              <wp:posOffset>295275</wp:posOffset>
            </wp:positionV>
            <wp:extent cx="2752725" cy="1515110"/>
            <wp:effectExtent l="0" t="0" r="9525" b="8890"/>
            <wp:wrapTopAndBottom/>
            <wp:docPr id="69" name="Draw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Drawing 17"/>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752725" cy="1515110"/>
                    </a:xfrm>
                    <a:prstGeom prst="rect">
                      <a:avLst/>
                    </a:prstGeom>
                  </pic:spPr>
                </pic:pic>
              </a:graphicData>
            </a:graphic>
          </wp:anchor>
        </w:drawing>
      </w:r>
      <w:r>
        <w:rPr>
          <w:rFonts w:hint="eastAsia" w:ascii="思源黑体 CN Heavy" w:hAnsi="思源黑体 CN Heavy" w:eastAsia="思源黑体 CN Heavy" w:cs="微软雅黑"/>
          <w:b/>
          <w:sz w:val="24"/>
          <w:szCs w:val="21"/>
        </w:rPr>
        <w:t>颜色与尺寸：</w:t>
      </w:r>
      <w:r>
        <w:rPr>
          <w:rFonts w:hint="eastAsia" w:cs="微软雅黑"/>
          <w:color w:val="000000" w:themeColor="text1"/>
          <w:sz w:val="24"/>
          <w:szCs w:val="21"/>
          <w14:textFill>
            <w14:solidFill>
              <w14:schemeClr w14:val="tx1"/>
            </w14:solidFill>
          </w14:textFill>
        </w:rPr>
        <w:t>蓝色金属零件</w:t>
      </w:r>
    </w:p>
    <w:p>
      <w:pPr>
        <w:pStyle w:val="30"/>
        <w:spacing w:after="156" w:afterLines="50"/>
        <w:ind w:firstLine="0"/>
        <w:jc w:val="center"/>
        <w:rPr>
          <w:b/>
          <w:color w:val="auto"/>
        </w:rPr>
      </w:pPr>
      <w:r>
        <w:rPr>
          <w:rFonts w:hint="eastAsia"/>
          <w:bCs/>
          <w:color w:val="auto"/>
        </w:rPr>
        <w:t>图</w:t>
      </w:r>
      <w:r>
        <w:rPr>
          <w:rFonts w:hint="eastAsia"/>
          <w:bCs/>
          <w:color w:val="auto"/>
          <w:lang w:val="en-US" w:eastAsia="zh-CN"/>
        </w:rPr>
        <w:t>1</w:t>
      </w:r>
      <w:r>
        <w:rPr>
          <w:bCs/>
          <w:color w:val="auto"/>
        </w:rPr>
        <w:t>.3-9</w:t>
      </w:r>
      <w:r>
        <w:rPr>
          <w:rFonts w:hint="eastAsia"/>
          <w:bCs/>
          <w:color w:val="auto"/>
        </w:rPr>
        <w:t>高速分拣器示意图</w:t>
      </w:r>
    </w:p>
    <w:p>
      <w:pPr>
        <w:pStyle w:val="63"/>
        <w:ind w:firstLine="482" w:firstLineChars="200"/>
      </w:pPr>
      <w:r>
        <w:rPr>
          <w:color w:val="auto"/>
        </w:rPr>
        <w:t>道具名称：</w:t>
      </w:r>
      <w:r>
        <w:rPr>
          <w:rFonts w:hint="eastAsia"/>
        </w:rPr>
        <w:t>储物仓</w:t>
      </w:r>
    </w:p>
    <w:p>
      <w:pPr>
        <w:ind w:firstLine="482" w:firstLineChars="200"/>
        <w:jc w:val="left"/>
        <w:rPr>
          <w:rFonts w:cs="微软雅黑"/>
          <w:color w:val="000000" w:themeColor="text1"/>
          <w:sz w:val="24"/>
          <w:szCs w:val="21"/>
          <w14:textFill>
            <w14:solidFill>
              <w14:schemeClr w14:val="tx1"/>
            </w14:solidFill>
          </w14:textFill>
        </w:rPr>
      </w:pPr>
      <w:r>
        <w:rPr>
          <w:rFonts w:ascii="思源黑体 CN Heavy" w:hAnsi="思源黑体 CN Heavy" w:eastAsia="思源黑体 CN Heavy" w:cs="微软雅黑"/>
          <w:b/>
          <w:sz w:val="24"/>
          <w:szCs w:val="21"/>
        </w:rPr>
        <w:t>道具介绍：</w:t>
      </w:r>
      <w:r>
        <w:rPr>
          <w:rFonts w:hint="eastAsia" w:cs="微软雅黑"/>
          <w:color w:val="000000" w:themeColor="text1"/>
          <w:sz w:val="24"/>
          <w:szCs w:val="21"/>
          <w14:textFill>
            <w14:solidFill>
              <w14:schemeClr w14:val="tx1"/>
            </w14:solidFill>
          </w14:textFill>
        </w:rPr>
        <w:t>由黑色木板以及金属零件搭建而成，安装在场地中央边框上；在其上方由木板组成可嵌入字母方块，可放置</w:t>
      </w:r>
      <w:r>
        <w:rPr>
          <w:rFonts w:cs="微软雅黑"/>
          <w:color w:val="000000" w:themeColor="text1"/>
          <w:sz w:val="24"/>
          <w:szCs w:val="21"/>
          <w14:textFill>
            <w14:solidFill>
              <w14:schemeClr w14:val="tx1"/>
            </w14:solidFill>
          </w14:textFill>
        </w:rPr>
        <w:t>3个最大边长为70mm的正方体;</w:t>
      </w:r>
    </w:p>
    <w:p>
      <w:pPr>
        <w:ind w:firstLine="482" w:firstLineChars="200"/>
        <w:jc w:val="left"/>
        <w:rPr>
          <w:rFonts w:cs="微软雅黑"/>
          <w:color w:val="000000" w:themeColor="text1"/>
          <w:sz w:val="24"/>
          <w:szCs w:val="21"/>
          <w14:textFill>
            <w14:solidFill>
              <w14:schemeClr w14:val="tx1"/>
            </w14:solidFill>
          </w14:textFill>
        </w:rPr>
      </w:pPr>
      <w:r>
        <w:rPr>
          <w:rFonts w:ascii="思源黑体 CN Heavy" w:hAnsi="思源黑体 CN Heavy" w:eastAsia="思源黑体 CN Heavy" w:cs="微软雅黑"/>
          <w:b/>
          <w:sz w:val="24"/>
          <w:szCs w:val="21"/>
        </w:rPr>
        <w:t>道具尺寸：</w:t>
      </w:r>
      <w:r>
        <w:rPr>
          <w:rFonts w:cs="微软雅黑"/>
          <w:color w:val="000000" w:themeColor="text1"/>
          <w:sz w:val="24"/>
          <w:szCs w:val="21"/>
          <w14:textFill>
            <w14:solidFill>
              <w14:schemeClr w14:val="tx1"/>
            </w14:solidFill>
          </w14:textFill>
        </w:rPr>
        <w:t xml:space="preserve">288*96*44 mm </w:t>
      </w:r>
    </w:p>
    <w:p>
      <w:pPr>
        <w:ind w:firstLine="400" w:firstLineChars="200"/>
        <w:jc w:val="left"/>
        <w:rPr>
          <w:rFonts w:cs="微软雅黑"/>
          <w:color w:val="000000" w:themeColor="text1"/>
          <w:sz w:val="24"/>
          <w:szCs w:val="21"/>
          <w14:textFill>
            <w14:solidFill>
              <w14:schemeClr w14:val="tx1"/>
            </w14:solidFill>
          </w14:textFill>
        </w:rPr>
      </w:pPr>
      <w:r>
        <w:drawing>
          <wp:anchor distT="0" distB="0" distL="114300" distR="114300" simplePos="0" relativeHeight="251680768" behindDoc="0" locked="0" layoutInCell="1" allowOverlap="1">
            <wp:simplePos x="0" y="0"/>
            <wp:positionH relativeFrom="margin">
              <wp:align>center</wp:align>
            </wp:positionH>
            <wp:positionV relativeFrom="paragraph">
              <wp:posOffset>240030</wp:posOffset>
            </wp:positionV>
            <wp:extent cx="2590800" cy="1426210"/>
            <wp:effectExtent l="0" t="0" r="0" b="2540"/>
            <wp:wrapTopAndBottom/>
            <wp:docPr id="20" name="Draw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Drawing 19"/>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590800" cy="1426235"/>
                    </a:xfrm>
                    <a:prstGeom prst="rect">
                      <a:avLst/>
                    </a:prstGeom>
                  </pic:spPr>
                </pic:pic>
              </a:graphicData>
            </a:graphic>
          </wp:anchor>
        </w:drawing>
      </w:r>
      <w:r>
        <w:rPr>
          <w:rFonts w:hint="eastAsia" w:ascii="思源黑体 CN Heavy" w:hAnsi="思源黑体 CN Heavy" w:eastAsia="思源黑体 CN Heavy" w:cs="微软雅黑"/>
          <w:b/>
          <w:sz w:val="24"/>
          <w:szCs w:val="21"/>
        </w:rPr>
        <w:t>颜色与材质：</w:t>
      </w:r>
      <w:r>
        <w:rPr>
          <w:rFonts w:hint="eastAsia" w:cs="微软雅黑"/>
          <w:color w:val="000000" w:themeColor="text1"/>
          <w:sz w:val="24"/>
          <w:szCs w:val="21"/>
          <w14:textFill>
            <w14:solidFill>
              <w14:schemeClr w14:val="tx1"/>
            </w14:solidFill>
          </w14:textFill>
        </w:rPr>
        <w:t>黑色木板</w:t>
      </w:r>
    </w:p>
    <w:p>
      <w:pPr>
        <w:pStyle w:val="30"/>
        <w:spacing w:after="156" w:afterLines="50"/>
        <w:ind w:firstLine="0"/>
        <w:jc w:val="center"/>
        <w:rPr>
          <w:bCs/>
          <w:color w:val="auto"/>
        </w:rPr>
      </w:pPr>
      <w:r>
        <w:rPr>
          <w:rFonts w:hint="eastAsia"/>
          <w:bCs/>
          <w:color w:val="auto"/>
        </w:rPr>
        <w:t>图</w:t>
      </w:r>
      <w:r>
        <w:rPr>
          <w:rFonts w:hint="eastAsia"/>
          <w:bCs/>
          <w:color w:val="auto"/>
          <w:lang w:val="en-US" w:eastAsia="zh-CN"/>
        </w:rPr>
        <w:t>1</w:t>
      </w:r>
      <w:r>
        <w:rPr>
          <w:bCs/>
          <w:color w:val="auto"/>
        </w:rPr>
        <w:t>.3-10</w:t>
      </w:r>
      <w:r>
        <w:rPr>
          <w:rFonts w:hint="eastAsia"/>
          <w:bCs/>
          <w:color w:val="auto"/>
        </w:rPr>
        <w:t>储物仓示意图</w:t>
      </w:r>
    </w:p>
    <w:p>
      <w:pPr>
        <w:pStyle w:val="30"/>
        <w:spacing w:after="156" w:afterLines="50"/>
        <w:ind w:firstLine="0"/>
        <w:jc w:val="center"/>
        <w:rPr>
          <w:bCs/>
          <w:color w:val="auto"/>
        </w:rPr>
      </w:pPr>
    </w:p>
    <w:p>
      <w:pPr>
        <w:pStyle w:val="63"/>
        <w:ind w:firstLine="482" w:firstLineChars="200"/>
      </w:pPr>
      <w:r>
        <w:rPr>
          <w:color w:val="auto"/>
        </w:rPr>
        <w:t>道具名称：</w:t>
      </w:r>
      <w:r>
        <w:rPr>
          <w:rFonts w:hint="eastAsia"/>
        </w:rPr>
        <w:t>矩阵研究站</w:t>
      </w:r>
    </w:p>
    <w:p>
      <w:pPr>
        <w:ind w:firstLine="482" w:firstLineChars="200"/>
        <w:jc w:val="left"/>
        <w:rPr>
          <w:rFonts w:cs="微软雅黑"/>
          <w:color w:val="000000" w:themeColor="text1"/>
          <w:sz w:val="24"/>
          <w:szCs w:val="21"/>
          <w14:textFill>
            <w14:solidFill>
              <w14:schemeClr w14:val="tx1"/>
            </w14:solidFill>
          </w14:textFill>
        </w:rPr>
      </w:pPr>
      <w:r>
        <w:rPr>
          <w:rFonts w:ascii="思源黑体 CN Heavy" w:hAnsi="思源黑体 CN Heavy" w:eastAsia="思源黑体 CN Heavy" w:cs="微软雅黑"/>
          <w:b/>
          <w:sz w:val="24"/>
          <w:szCs w:val="21"/>
        </w:rPr>
        <w:t>道具介绍：</w:t>
      </w:r>
      <w:r>
        <w:rPr>
          <w:rFonts w:hint="eastAsia" w:cs="微软雅黑"/>
          <w:color w:val="000000" w:themeColor="text1"/>
          <w:sz w:val="24"/>
          <w:szCs w:val="21"/>
          <w14:textFill>
            <w14:solidFill>
              <w14:schemeClr w14:val="tx1"/>
            </w14:solidFill>
          </w14:textFill>
        </w:rPr>
        <w:t>由黑色木板以及金属零件搭建而成，在其上方由木板组成可嵌入字母方块的卡槽，可放置</w:t>
      </w:r>
      <w:r>
        <w:rPr>
          <w:rFonts w:cs="微软雅黑"/>
          <w:color w:val="000000" w:themeColor="text1"/>
          <w:sz w:val="24"/>
          <w:szCs w:val="21"/>
          <w14:textFill>
            <w14:solidFill>
              <w14:schemeClr w14:val="tx1"/>
            </w14:solidFill>
          </w14:textFill>
        </w:rPr>
        <w:t>9个最大边长为70mm的正方体；</w:t>
      </w:r>
    </w:p>
    <w:p>
      <w:pPr>
        <w:ind w:firstLine="482" w:firstLineChars="200"/>
        <w:jc w:val="left"/>
        <w:rPr>
          <w:rFonts w:cs="微软雅黑"/>
          <w:color w:val="000000" w:themeColor="text1"/>
          <w:sz w:val="24"/>
          <w:szCs w:val="21"/>
          <w14:textFill>
            <w14:solidFill>
              <w14:schemeClr w14:val="tx1"/>
            </w14:solidFill>
          </w14:textFill>
        </w:rPr>
      </w:pPr>
      <w:r>
        <w:rPr>
          <w:rFonts w:ascii="思源黑体 CN Heavy" w:hAnsi="思源黑体 CN Heavy" w:eastAsia="思源黑体 CN Heavy" w:cs="微软雅黑"/>
          <w:b/>
          <w:sz w:val="24"/>
          <w:szCs w:val="21"/>
        </w:rPr>
        <w:t>道具尺寸：</w:t>
      </w:r>
      <w:r>
        <w:rPr>
          <w:rFonts w:cs="微软雅黑"/>
          <w:color w:val="000000" w:themeColor="text1"/>
          <w:sz w:val="24"/>
          <w:szCs w:val="21"/>
          <w14:textFill>
            <w14:solidFill>
              <w14:schemeClr w14:val="tx1"/>
            </w14:solidFill>
          </w14:textFill>
        </w:rPr>
        <w:t xml:space="preserve">620*620*110 mm </w:t>
      </w:r>
    </w:p>
    <w:p>
      <w:pPr>
        <w:ind w:firstLine="400" w:firstLineChars="200"/>
        <w:jc w:val="left"/>
        <w:rPr>
          <w:rFonts w:cs="微软雅黑"/>
          <w:color w:val="000000" w:themeColor="text1"/>
          <w:sz w:val="24"/>
          <w:szCs w:val="21"/>
          <w14:textFill>
            <w14:solidFill>
              <w14:schemeClr w14:val="tx1"/>
            </w14:solidFill>
          </w14:textFill>
        </w:rPr>
      </w:pPr>
      <w:r>
        <w:drawing>
          <wp:anchor distT="0" distB="0" distL="114300" distR="114300" simplePos="0" relativeHeight="251681792" behindDoc="0" locked="0" layoutInCell="1" allowOverlap="1">
            <wp:simplePos x="0" y="0"/>
            <wp:positionH relativeFrom="margin">
              <wp:align>center</wp:align>
            </wp:positionH>
            <wp:positionV relativeFrom="paragraph">
              <wp:posOffset>317500</wp:posOffset>
            </wp:positionV>
            <wp:extent cx="2476500" cy="1792605"/>
            <wp:effectExtent l="0" t="0" r="0" b="0"/>
            <wp:wrapTopAndBottom/>
            <wp:docPr id="70" name="Draw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Drawing 21"/>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476500" cy="1792832"/>
                    </a:xfrm>
                    <a:prstGeom prst="rect">
                      <a:avLst/>
                    </a:prstGeom>
                  </pic:spPr>
                </pic:pic>
              </a:graphicData>
            </a:graphic>
          </wp:anchor>
        </w:drawing>
      </w:r>
      <w:r>
        <w:rPr>
          <w:rFonts w:hint="eastAsia" w:cs="微软雅黑"/>
          <w:color w:val="000000" w:themeColor="text1"/>
          <w:sz w:val="24"/>
          <w:szCs w:val="21"/>
          <w14:textFill>
            <w14:solidFill>
              <w14:schemeClr w14:val="tx1"/>
            </w14:solidFill>
          </w14:textFill>
        </w:rPr>
        <w:t xml:space="preserve"> </w:t>
      </w:r>
      <w:r>
        <w:rPr>
          <w:rFonts w:hint="eastAsia" w:ascii="思源黑体 CN Heavy" w:hAnsi="思源黑体 CN Heavy" w:eastAsia="思源黑体 CN Heavy" w:cs="微软雅黑"/>
          <w:b/>
          <w:sz w:val="24"/>
          <w:szCs w:val="21"/>
        </w:rPr>
        <w:t>颜色与材质：</w:t>
      </w:r>
      <w:r>
        <w:rPr>
          <w:rFonts w:hint="eastAsia" w:cs="微软雅黑"/>
          <w:color w:val="000000" w:themeColor="text1"/>
          <w:sz w:val="24"/>
          <w:szCs w:val="21"/>
          <w14:textFill>
            <w14:solidFill>
              <w14:schemeClr w14:val="tx1"/>
            </w14:solidFill>
          </w14:textFill>
        </w:rPr>
        <w:t>蓝色金属零件、黑色木板</w:t>
      </w:r>
    </w:p>
    <w:p>
      <w:pPr>
        <w:pStyle w:val="30"/>
        <w:spacing w:after="156" w:afterLines="50"/>
        <w:ind w:firstLine="0"/>
        <w:jc w:val="center"/>
        <w:rPr>
          <w:bCs/>
          <w:color w:val="auto"/>
        </w:rPr>
      </w:pPr>
      <w:r>
        <w:rPr>
          <w:rFonts w:hint="eastAsia"/>
          <w:bCs/>
          <w:color w:val="auto"/>
        </w:rPr>
        <w:t>图</w:t>
      </w:r>
      <w:r>
        <w:rPr>
          <w:rFonts w:hint="eastAsia"/>
          <w:bCs/>
          <w:color w:val="auto"/>
          <w:lang w:val="en-US" w:eastAsia="zh-CN"/>
        </w:rPr>
        <w:t>1</w:t>
      </w:r>
      <w:r>
        <w:rPr>
          <w:bCs/>
          <w:color w:val="auto"/>
        </w:rPr>
        <w:t>.3-11</w:t>
      </w:r>
      <w:r>
        <w:rPr>
          <w:rFonts w:hint="eastAsia"/>
          <w:bCs/>
          <w:color w:val="auto"/>
        </w:rPr>
        <w:t>矩阵研究站示意图</w:t>
      </w:r>
    </w:p>
    <w:p>
      <w:pPr>
        <w:pStyle w:val="30"/>
        <w:spacing w:after="156" w:afterLines="50"/>
        <w:ind w:firstLine="0"/>
        <w:jc w:val="left"/>
        <w:rPr>
          <w:bCs/>
          <w:color w:val="auto"/>
        </w:rPr>
      </w:pPr>
      <w:r>
        <w:rPr>
          <w:bCs/>
          <w:color w:val="auto"/>
        </w:rPr>
        <w:tab/>
      </w:r>
      <w:r>
        <w:rPr>
          <w:bCs/>
          <w:color w:val="auto"/>
        </w:rPr>
        <w:t>*注：所有场地及道具具有一定的合理</w:t>
      </w:r>
      <w:r>
        <w:rPr>
          <w:rFonts w:hint="eastAsia"/>
          <w:bCs/>
          <w:color w:val="auto"/>
        </w:rPr>
        <w:t>公</w:t>
      </w:r>
      <w:r>
        <w:rPr>
          <w:bCs/>
          <w:color w:val="auto"/>
        </w:rPr>
        <w:t>差。</w:t>
      </w:r>
    </w:p>
    <w:p>
      <w:pPr>
        <w:pStyle w:val="81"/>
        <w:spacing w:line="420" w:lineRule="exact"/>
      </w:pPr>
      <w:bookmarkStart w:id="7" w:name="_Toc149299885"/>
      <w:r>
        <w:rPr>
          <w:rFonts w:hint="eastAsia"/>
        </w:rPr>
        <w:t>任务介绍及得分判定</w:t>
      </w:r>
      <w:bookmarkEnd w:id="7"/>
    </w:p>
    <w:p>
      <w:pPr>
        <w:pStyle w:val="30"/>
      </w:pPr>
      <w:r>
        <w:rPr>
          <w:rFonts w:hint="eastAsia"/>
        </w:rPr>
        <w:t>比赛任务分为独立任务、联盟任务以及可能出现的神秘任务。</w:t>
      </w:r>
    </w:p>
    <w:p>
      <w:pPr>
        <w:pStyle w:val="30"/>
      </w:pPr>
      <w:r>
        <w:rPr>
          <w:rFonts w:hint="eastAsia"/>
        </w:rPr>
        <w:t>独立任务：</w:t>
      </w:r>
      <w:r>
        <w:t>M01-M06，独立任务所得分数为战队得分。</w:t>
      </w:r>
    </w:p>
    <w:p>
      <w:pPr>
        <w:pStyle w:val="30"/>
      </w:pPr>
      <w:r>
        <w:rPr>
          <w:rFonts w:hint="eastAsia"/>
        </w:rPr>
        <w:t>联盟任务：</w:t>
      </w:r>
      <w:r>
        <w:t>M07-M09，联盟任务所得分数红蓝</w:t>
      </w:r>
      <w:r>
        <w:rPr>
          <w:rFonts w:hint="eastAsia"/>
        </w:rPr>
        <w:t>战队共得</w:t>
      </w:r>
      <w:r>
        <w:t>。</w:t>
      </w:r>
    </w:p>
    <w:p>
      <w:pPr>
        <w:pStyle w:val="30"/>
      </w:pPr>
      <w:r>
        <w:rPr>
          <w:rFonts w:hint="eastAsia"/>
        </w:rPr>
        <w:t>神秘任务：大型赛事中，现场公布的临时任务。</w:t>
      </w:r>
    </w:p>
    <w:p>
      <w:pPr>
        <w:pStyle w:val="30"/>
        <w:jc w:val="center"/>
      </w:pPr>
      <w:r>
        <w:drawing>
          <wp:anchor distT="0" distB="0" distL="114300" distR="114300" simplePos="0" relativeHeight="251682816" behindDoc="0" locked="0" layoutInCell="1" allowOverlap="1">
            <wp:simplePos x="0" y="0"/>
            <wp:positionH relativeFrom="margin">
              <wp:align>center</wp:align>
            </wp:positionH>
            <wp:positionV relativeFrom="paragraph">
              <wp:posOffset>177165</wp:posOffset>
            </wp:positionV>
            <wp:extent cx="5822315" cy="5626735"/>
            <wp:effectExtent l="0" t="0" r="0" b="0"/>
            <wp:wrapTopAndBottom/>
            <wp:docPr id="24" name="Drawing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Drawing 23"/>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5822315" cy="5626735"/>
                    </a:xfrm>
                    <a:prstGeom prst="rect">
                      <a:avLst/>
                    </a:prstGeom>
                  </pic:spPr>
                </pic:pic>
              </a:graphicData>
            </a:graphic>
          </wp:anchor>
        </w:drawing>
      </w:r>
      <w:r>
        <w:rPr>
          <w:rFonts w:hint="eastAsia"/>
          <w:bCs/>
          <w:color w:val="auto"/>
        </w:rPr>
        <w:t>图</w:t>
      </w:r>
      <w:r>
        <w:rPr>
          <w:rFonts w:hint="eastAsia"/>
          <w:bCs/>
          <w:color w:val="auto"/>
          <w:lang w:val="en-US" w:eastAsia="zh-CN"/>
        </w:rPr>
        <w:t>1</w:t>
      </w:r>
      <w:r>
        <w:rPr>
          <w:bCs/>
          <w:color w:val="auto"/>
        </w:rPr>
        <w:t>.4-1</w:t>
      </w:r>
      <w:bookmarkStart w:id="8" w:name="_Hlk155445539"/>
      <w:r>
        <w:rPr>
          <w:rFonts w:hint="eastAsia"/>
          <w:bCs/>
          <w:color w:val="auto"/>
        </w:rPr>
        <w:t>自动任务区及手动任务区任务位置示意图</w:t>
      </w:r>
      <w:bookmarkEnd w:id="8"/>
    </w:p>
    <w:p>
      <w:pPr>
        <w:pStyle w:val="30"/>
        <w:spacing w:after="156" w:afterLines="50"/>
      </w:pPr>
      <w:r>
        <w:rPr>
          <w:rFonts w:hint="eastAsia"/>
        </w:rPr>
        <w:t>单场比赛中，每支战队需完成</w:t>
      </w:r>
      <w:r>
        <w:t xml:space="preserve">6个独立任务、3个联盟任务，如下表所示： </w:t>
      </w:r>
    </w:p>
    <w:tbl>
      <w:tblPr>
        <w:tblStyle w:val="17"/>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 w:type="dxa"/>
          <w:bottom w:w="0" w:type="dxa"/>
          <w:right w:w="10" w:type="dxa"/>
        </w:tblCellMar>
      </w:tblPr>
      <w:tblGrid>
        <w:gridCol w:w="2410"/>
        <w:gridCol w:w="1843"/>
        <w:gridCol w:w="4059"/>
      </w:tblGrid>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2410" w:type="dxa"/>
            <w:vAlign w:val="center"/>
          </w:tcPr>
          <w:p>
            <w:pPr>
              <w:pStyle w:val="30"/>
              <w:ind w:firstLine="0"/>
              <w:jc w:val="center"/>
              <w:rPr>
                <w:b/>
                <w:bCs/>
                <w:color w:val="auto"/>
                <w:sz w:val="20"/>
                <w:szCs w:val="20"/>
              </w:rPr>
            </w:pPr>
            <w:r>
              <w:rPr>
                <w:b/>
                <w:bCs/>
                <w:color w:val="auto"/>
                <w:sz w:val="20"/>
                <w:szCs w:val="20"/>
              </w:rPr>
              <w:t>阶段及时间</w:t>
            </w:r>
          </w:p>
        </w:tc>
        <w:tc>
          <w:tcPr>
            <w:tcW w:w="1843" w:type="dxa"/>
            <w:vAlign w:val="center"/>
          </w:tcPr>
          <w:p>
            <w:pPr>
              <w:jc w:val="center"/>
              <w:rPr>
                <w:rFonts w:cs="微软雅黑"/>
                <w:b/>
                <w:bCs/>
                <w:szCs w:val="20"/>
              </w:rPr>
            </w:pPr>
            <w:r>
              <w:rPr>
                <w:rFonts w:cs="微软雅黑"/>
                <w:b/>
                <w:bCs/>
                <w:szCs w:val="20"/>
              </w:rPr>
              <w:t>任务类型</w:t>
            </w:r>
          </w:p>
        </w:tc>
        <w:tc>
          <w:tcPr>
            <w:tcW w:w="4059" w:type="dxa"/>
            <w:vAlign w:val="center"/>
          </w:tcPr>
          <w:p>
            <w:pPr>
              <w:jc w:val="center"/>
              <w:rPr>
                <w:rFonts w:cs="微软雅黑"/>
                <w:b/>
                <w:bCs/>
                <w:szCs w:val="20"/>
              </w:rPr>
            </w:pPr>
            <w:r>
              <w:rPr>
                <w:rFonts w:ascii="Arial" w:hAnsi="Arial" w:cs="Arial"/>
                <w:b/>
                <w:bCs/>
                <w:color w:val="000000"/>
                <w:szCs w:val="20"/>
              </w:rPr>
              <w:t>比赛任务</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2410" w:type="dxa"/>
            <w:vMerge w:val="restart"/>
            <w:vAlign w:val="center"/>
          </w:tcPr>
          <w:p>
            <w:pPr>
              <w:pStyle w:val="30"/>
              <w:ind w:firstLine="0"/>
              <w:jc w:val="center"/>
              <w:rPr>
                <w:b/>
                <w:bCs/>
                <w:color w:val="auto"/>
                <w:sz w:val="20"/>
                <w:szCs w:val="20"/>
              </w:rPr>
            </w:pPr>
            <w:r>
              <w:rPr>
                <w:b/>
                <w:bCs/>
                <w:color w:val="auto"/>
                <w:sz w:val="20"/>
                <w:szCs w:val="20"/>
              </w:rPr>
              <w:t>自动控制阶段</w:t>
            </w:r>
          </w:p>
          <w:p>
            <w:pPr>
              <w:pStyle w:val="30"/>
              <w:ind w:firstLine="0"/>
              <w:jc w:val="center"/>
              <w:rPr>
                <w:b/>
                <w:bCs/>
                <w:color w:val="auto"/>
                <w:sz w:val="20"/>
                <w:szCs w:val="20"/>
              </w:rPr>
            </w:pPr>
            <w:r>
              <w:rPr>
                <w:b/>
                <w:bCs/>
                <w:color w:val="auto"/>
                <w:sz w:val="20"/>
                <w:szCs w:val="20"/>
              </w:rPr>
              <w:t>（x秒，0&lt;x≤240）</w:t>
            </w:r>
          </w:p>
        </w:tc>
        <w:tc>
          <w:tcPr>
            <w:tcW w:w="1843" w:type="dxa"/>
            <w:vMerge w:val="restart"/>
            <w:vAlign w:val="center"/>
          </w:tcPr>
          <w:p>
            <w:pPr>
              <w:pStyle w:val="30"/>
              <w:ind w:firstLine="0"/>
              <w:jc w:val="center"/>
              <w:rPr>
                <w:color w:val="auto"/>
                <w:sz w:val="20"/>
                <w:szCs w:val="20"/>
              </w:rPr>
            </w:pPr>
            <w:r>
              <w:rPr>
                <w:color w:val="auto"/>
                <w:sz w:val="20"/>
                <w:szCs w:val="20"/>
              </w:rPr>
              <w:t>独立任务</w:t>
            </w:r>
          </w:p>
        </w:tc>
        <w:tc>
          <w:tcPr>
            <w:tcW w:w="4059" w:type="dxa"/>
            <w:vAlign w:val="center"/>
          </w:tcPr>
          <w:p>
            <w:pPr>
              <w:pStyle w:val="30"/>
              <w:ind w:firstLine="0"/>
              <w:jc w:val="center"/>
              <w:rPr>
                <w:color w:val="auto"/>
                <w:sz w:val="20"/>
                <w:szCs w:val="20"/>
              </w:rPr>
            </w:pPr>
            <w:r>
              <w:rPr>
                <w:rFonts w:ascii="Arial" w:hAnsi="Arial" w:cs="Arial"/>
                <w:color w:val="000000"/>
                <w:sz w:val="20"/>
                <w:szCs w:val="20"/>
              </w:rPr>
              <w:t xml:space="preserve">M01 </w:t>
            </w:r>
            <w:r>
              <w:rPr>
                <w:rFonts w:hint="eastAsia" w:ascii="Arial" w:hAnsi="Arial" w:cs="Arial"/>
                <w:color w:val="000000"/>
                <w:sz w:val="20"/>
                <w:szCs w:val="20"/>
              </w:rPr>
              <w:t>采集量子芯片</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2410" w:type="dxa"/>
            <w:vMerge w:val="continue"/>
            <w:vAlign w:val="center"/>
          </w:tcPr>
          <w:p>
            <w:pPr>
              <w:pStyle w:val="30"/>
              <w:ind w:firstLine="0"/>
              <w:jc w:val="center"/>
              <w:rPr>
                <w:b/>
                <w:bCs/>
                <w:color w:val="auto"/>
                <w:sz w:val="20"/>
                <w:szCs w:val="20"/>
              </w:rPr>
            </w:pPr>
          </w:p>
        </w:tc>
        <w:tc>
          <w:tcPr>
            <w:tcW w:w="1843" w:type="dxa"/>
            <w:vMerge w:val="continue"/>
            <w:vAlign w:val="center"/>
          </w:tcPr>
          <w:p>
            <w:pPr>
              <w:pStyle w:val="30"/>
              <w:jc w:val="center"/>
              <w:rPr>
                <w:color w:val="auto"/>
                <w:sz w:val="20"/>
                <w:szCs w:val="20"/>
              </w:rPr>
            </w:pPr>
          </w:p>
        </w:tc>
        <w:tc>
          <w:tcPr>
            <w:tcW w:w="4059" w:type="dxa"/>
            <w:vAlign w:val="center"/>
          </w:tcPr>
          <w:p>
            <w:pPr>
              <w:pStyle w:val="30"/>
              <w:ind w:firstLine="0"/>
              <w:jc w:val="center"/>
              <w:rPr>
                <w:color w:val="auto"/>
                <w:sz w:val="20"/>
                <w:szCs w:val="20"/>
              </w:rPr>
            </w:pPr>
            <w:r>
              <w:rPr>
                <w:rFonts w:ascii="Arial" w:hAnsi="Arial" w:cs="Arial"/>
                <w:color w:val="000000"/>
                <w:sz w:val="20"/>
                <w:szCs w:val="20"/>
              </w:rPr>
              <w:t xml:space="preserve">M02 </w:t>
            </w:r>
            <w:r>
              <w:rPr>
                <w:rFonts w:hint="eastAsia" w:ascii="Arial" w:hAnsi="Arial" w:cs="Arial"/>
                <w:color w:val="000000"/>
                <w:sz w:val="20"/>
                <w:szCs w:val="20"/>
              </w:rPr>
              <w:t>转运量子芯片和有机晶体</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2410" w:type="dxa"/>
            <w:vMerge w:val="continue"/>
            <w:vAlign w:val="center"/>
          </w:tcPr>
          <w:p>
            <w:pPr>
              <w:pStyle w:val="30"/>
              <w:ind w:firstLine="0"/>
              <w:jc w:val="center"/>
              <w:rPr>
                <w:b/>
                <w:bCs/>
                <w:color w:val="auto"/>
                <w:sz w:val="20"/>
                <w:szCs w:val="20"/>
              </w:rPr>
            </w:pPr>
          </w:p>
        </w:tc>
        <w:tc>
          <w:tcPr>
            <w:tcW w:w="1843" w:type="dxa"/>
            <w:vMerge w:val="continue"/>
            <w:vAlign w:val="center"/>
          </w:tcPr>
          <w:p>
            <w:pPr>
              <w:pStyle w:val="30"/>
              <w:jc w:val="center"/>
              <w:rPr>
                <w:color w:val="auto"/>
                <w:sz w:val="20"/>
                <w:szCs w:val="20"/>
              </w:rPr>
            </w:pPr>
          </w:p>
        </w:tc>
        <w:tc>
          <w:tcPr>
            <w:tcW w:w="4059" w:type="dxa"/>
            <w:vAlign w:val="center"/>
          </w:tcPr>
          <w:p>
            <w:pPr>
              <w:pStyle w:val="30"/>
              <w:ind w:firstLine="0"/>
              <w:jc w:val="center"/>
              <w:rPr>
                <w:color w:val="auto"/>
                <w:sz w:val="20"/>
                <w:szCs w:val="20"/>
              </w:rPr>
            </w:pPr>
            <w:r>
              <w:rPr>
                <w:rFonts w:ascii="Arial" w:hAnsi="Arial" w:cs="Arial"/>
                <w:color w:val="000000"/>
                <w:sz w:val="20"/>
                <w:szCs w:val="20"/>
              </w:rPr>
              <w:t xml:space="preserve">M03 </w:t>
            </w:r>
            <w:r>
              <w:rPr>
                <w:rFonts w:hint="eastAsia" w:ascii="Arial" w:hAnsi="Arial" w:cs="Arial"/>
                <w:color w:val="000000"/>
                <w:sz w:val="20"/>
                <w:szCs w:val="20"/>
              </w:rPr>
              <w:t>采集数据块</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2410" w:type="dxa"/>
            <w:vMerge w:val="continue"/>
            <w:vAlign w:val="center"/>
          </w:tcPr>
          <w:p>
            <w:pPr>
              <w:pStyle w:val="30"/>
              <w:ind w:firstLine="0"/>
              <w:jc w:val="center"/>
              <w:rPr>
                <w:b/>
                <w:bCs/>
                <w:color w:val="auto"/>
                <w:sz w:val="20"/>
                <w:szCs w:val="20"/>
              </w:rPr>
            </w:pPr>
          </w:p>
        </w:tc>
        <w:tc>
          <w:tcPr>
            <w:tcW w:w="1843" w:type="dxa"/>
            <w:vMerge w:val="continue"/>
            <w:vAlign w:val="center"/>
          </w:tcPr>
          <w:p>
            <w:pPr>
              <w:pStyle w:val="30"/>
              <w:jc w:val="center"/>
              <w:rPr>
                <w:color w:val="auto"/>
                <w:sz w:val="20"/>
                <w:szCs w:val="20"/>
              </w:rPr>
            </w:pPr>
          </w:p>
        </w:tc>
        <w:tc>
          <w:tcPr>
            <w:tcW w:w="4059" w:type="dxa"/>
            <w:vAlign w:val="center"/>
          </w:tcPr>
          <w:p>
            <w:pPr>
              <w:pStyle w:val="30"/>
              <w:ind w:firstLine="0"/>
              <w:jc w:val="center"/>
              <w:rPr>
                <w:color w:val="auto"/>
                <w:sz w:val="20"/>
                <w:szCs w:val="20"/>
              </w:rPr>
            </w:pPr>
            <w:r>
              <w:rPr>
                <w:rFonts w:ascii="Arial" w:hAnsi="Arial" w:cs="Arial"/>
                <w:color w:val="000000"/>
                <w:sz w:val="20"/>
                <w:szCs w:val="20"/>
              </w:rPr>
              <w:t xml:space="preserve">M04 </w:t>
            </w:r>
            <w:r>
              <w:rPr>
                <w:rFonts w:hint="eastAsia" w:ascii="Arial" w:hAnsi="Arial" w:cs="Arial"/>
                <w:color w:val="000000"/>
                <w:sz w:val="20"/>
                <w:szCs w:val="20"/>
              </w:rPr>
              <w:t>智能制造</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2410" w:type="dxa"/>
            <w:vMerge w:val="continue"/>
            <w:vAlign w:val="center"/>
          </w:tcPr>
          <w:p>
            <w:pPr>
              <w:pStyle w:val="30"/>
              <w:ind w:firstLine="0"/>
              <w:jc w:val="center"/>
              <w:rPr>
                <w:b/>
                <w:bCs/>
                <w:color w:val="auto"/>
                <w:sz w:val="20"/>
                <w:szCs w:val="20"/>
              </w:rPr>
            </w:pPr>
          </w:p>
        </w:tc>
        <w:tc>
          <w:tcPr>
            <w:tcW w:w="1843" w:type="dxa"/>
            <w:vMerge w:val="continue"/>
            <w:vAlign w:val="center"/>
          </w:tcPr>
          <w:p>
            <w:pPr>
              <w:pStyle w:val="30"/>
              <w:jc w:val="center"/>
              <w:rPr>
                <w:color w:val="auto"/>
                <w:sz w:val="20"/>
                <w:szCs w:val="20"/>
              </w:rPr>
            </w:pPr>
          </w:p>
        </w:tc>
        <w:tc>
          <w:tcPr>
            <w:tcW w:w="4059" w:type="dxa"/>
            <w:vAlign w:val="center"/>
          </w:tcPr>
          <w:p>
            <w:pPr>
              <w:pStyle w:val="30"/>
              <w:ind w:firstLine="0"/>
              <w:jc w:val="center"/>
              <w:rPr>
                <w:color w:val="auto"/>
                <w:sz w:val="20"/>
                <w:szCs w:val="20"/>
              </w:rPr>
            </w:pPr>
            <w:r>
              <w:rPr>
                <w:rFonts w:ascii="Arial" w:hAnsi="Arial" w:cs="Arial"/>
                <w:color w:val="000000"/>
                <w:sz w:val="20"/>
                <w:szCs w:val="20"/>
              </w:rPr>
              <w:t xml:space="preserve">M05 </w:t>
            </w:r>
            <w:r>
              <w:rPr>
                <w:rFonts w:hint="eastAsia" w:ascii="Arial" w:hAnsi="Arial" w:cs="Arial"/>
                <w:color w:val="000000"/>
                <w:sz w:val="20"/>
                <w:szCs w:val="20"/>
              </w:rPr>
              <w:t>处理污染物</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2410" w:type="dxa"/>
            <w:vMerge w:val="continue"/>
            <w:vAlign w:val="center"/>
          </w:tcPr>
          <w:p>
            <w:pPr>
              <w:pStyle w:val="30"/>
              <w:ind w:firstLine="0"/>
              <w:jc w:val="center"/>
              <w:rPr>
                <w:b/>
                <w:bCs/>
                <w:color w:val="auto"/>
                <w:sz w:val="20"/>
                <w:szCs w:val="20"/>
              </w:rPr>
            </w:pPr>
          </w:p>
        </w:tc>
        <w:tc>
          <w:tcPr>
            <w:tcW w:w="1843" w:type="dxa"/>
            <w:vMerge w:val="continue"/>
            <w:vAlign w:val="center"/>
          </w:tcPr>
          <w:p>
            <w:pPr>
              <w:pStyle w:val="30"/>
              <w:ind w:firstLine="0"/>
              <w:jc w:val="center"/>
              <w:rPr>
                <w:color w:val="auto"/>
                <w:sz w:val="20"/>
                <w:szCs w:val="20"/>
              </w:rPr>
            </w:pPr>
          </w:p>
        </w:tc>
        <w:tc>
          <w:tcPr>
            <w:tcW w:w="4059" w:type="dxa"/>
            <w:vAlign w:val="center"/>
          </w:tcPr>
          <w:p>
            <w:pPr>
              <w:pStyle w:val="30"/>
              <w:ind w:firstLine="0"/>
              <w:jc w:val="center"/>
              <w:rPr>
                <w:rFonts w:ascii="Arial" w:hAnsi="Arial" w:cs="Arial"/>
                <w:color w:val="000000"/>
                <w:sz w:val="20"/>
                <w:szCs w:val="20"/>
              </w:rPr>
            </w:pPr>
            <w:r>
              <w:rPr>
                <w:rFonts w:ascii="Arial" w:hAnsi="Arial" w:cs="Arial"/>
                <w:color w:val="000000"/>
                <w:sz w:val="20"/>
                <w:szCs w:val="20"/>
              </w:rPr>
              <w:t xml:space="preserve">M06 </w:t>
            </w:r>
            <w:r>
              <w:rPr>
                <w:rFonts w:hint="eastAsia" w:ascii="Arial" w:hAnsi="Arial" w:cs="Arial"/>
                <w:color w:val="000000"/>
                <w:sz w:val="20"/>
                <w:szCs w:val="20"/>
              </w:rPr>
              <w:t>堆放储物仓</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2410" w:type="dxa"/>
            <w:vAlign w:val="center"/>
          </w:tcPr>
          <w:p>
            <w:pPr>
              <w:pStyle w:val="30"/>
              <w:ind w:firstLine="0"/>
              <w:jc w:val="center"/>
              <w:rPr>
                <w:b/>
                <w:bCs/>
                <w:color w:val="auto"/>
                <w:sz w:val="20"/>
                <w:szCs w:val="20"/>
              </w:rPr>
            </w:pPr>
            <w:r>
              <w:rPr>
                <w:b/>
                <w:bCs/>
                <w:color w:val="auto"/>
                <w:sz w:val="20"/>
                <w:szCs w:val="20"/>
              </w:rPr>
              <w:t>自动控制阶段</w:t>
            </w:r>
          </w:p>
          <w:p>
            <w:pPr>
              <w:pStyle w:val="30"/>
              <w:ind w:firstLine="0"/>
              <w:jc w:val="center"/>
              <w:rPr>
                <w:b/>
                <w:bCs/>
                <w:color w:val="auto"/>
                <w:sz w:val="20"/>
                <w:szCs w:val="20"/>
              </w:rPr>
            </w:pPr>
            <w:r>
              <w:rPr>
                <w:b/>
                <w:bCs/>
                <w:color w:val="auto"/>
                <w:sz w:val="20"/>
                <w:szCs w:val="20"/>
              </w:rPr>
              <w:t>（x秒，0&lt;x≤240）</w:t>
            </w:r>
          </w:p>
        </w:tc>
        <w:tc>
          <w:tcPr>
            <w:tcW w:w="1843" w:type="dxa"/>
            <w:vAlign w:val="center"/>
          </w:tcPr>
          <w:p>
            <w:pPr>
              <w:pStyle w:val="30"/>
              <w:ind w:firstLine="0"/>
              <w:jc w:val="center"/>
              <w:rPr>
                <w:color w:val="auto"/>
                <w:sz w:val="20"/>
                <w:szCs w:val="20"/>
              </w:rPr>
            </w:pPr>
            <w:r>
              <w:rPr>
                <w:color w:val="auto"/>
                <w:sz w:val="20"/>
                <w:szCs w:val="20"/>
              </w:rPr>
              <w:t>联盟任务</w:t>
            </w:r>
          </w:p>
        </w:tc>
        <w:tc>
          <w:tcPr>
            <w:tcW w:w="4059" w:type="dxa"/>
            <w:vAlign w:val="center"/>
          </w:tcPr>
          <w:p>
            <w:pPr>
              <w:pStyle w:val="30"/>
              <w:ind w:firstLine="0"/>
              <w:jc w:val="center"/>
              <w:rPr>
                <w:color w:val="auto"/>
                <w:sz w:val="20"/>
                <w:szCs w:val="20"/>
              </w:rPr>
            </w:pPr>
            <w:r>
              <w:rPr>
                <w:rFonts w:ascii="Arial" w:hAnsi="Arial" w:cs="Arial"/>
                <w:color w:val="000000"/>
                <w:sz w:val="20"/>
                <w:szCs w:val="20"/>
              </w:rPr>
              <w:t xml:space="preserve">M07 </w:t>
            </w:r>
            <w:r>
              <w:rPr>
                <w:rFonts w:hint="eastAsia" w:ascii="Arial" w:hAnsi="Arial" w:cs="Arial"/>
                <w:color w:val="000000"/>
                <w:sz w:val="20"/>
                <w:szCs w:val="20"/>
              </w:rPr>
              <w:t>点燃反物质燃料棒</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2410" w:type="dxa"/>
            <w:vMerge w:val="restart"/>
            <w:vAlign w:val="center"/>
          </w:tcPr>
          <w:p>
            <w:pPr>
              <w:pStyle w:val="30"/>
              <w:ind w:firstLine="0"/>
              <w:jc w:val="center"/>
              <w:rPr>
                <w:b/>
                <w:bCs/>
                <w:color w:val="auto"/>
                <w:sz w:val="20"/>
                <w:szCs w:val="20"/>
              </w:rPr>
            </w:pPr>
            <w:r>
              <w:rPr>
                <w:b/>
                <w:bCs/>
                <w:color w:val="auto"/>
                <w:sz w:val="20"/>
                <w:szCs w:val="20"/>
              </w:rPr>
              <w:t xml:space="preserve">手动控制阶段 </w:t>
            </w:r>
          </w:p>
          <w:p>
            <w:pPr>
              <w:pStyle w:val="30"/>
              <w:ind w:firstLine="0"/>
              <w:jc w:val="center"/>
              <w:rPr>
                <w:color w:val="auto"/>
                <w:sz w:val="20"/>
                <w:szCs w:val="20"/>
              </w:rPr>
            </w:pPr>
            <w:r>
              <w:rPr>
                <w:b/>
                <w:bCs/>
                <w:color w:val="auto"/>
                <w:sz w:val="20"/>
                <w:szCs w:val="20"/>
              </w:rPr>
              <w:t>（240-x 秒）</w:t>
            </w:r>
          </w:p>
        </w:tc>
        <w:tc>
          <w:tcPr>
            <w:tcW w:w="1843" w:type="dxa"/>
            <w:vMerge w:val="restart"/>
            <w:vAlign w:val="center"/>
          </w:tcPr>
          <w:p>
            <w:pPr>
              <w:pStyle w:val="30"/>
              <w:ind w:firstLine="0"/>
              <w:jc w:val="center"/>
              <w:rPr>
                <w:color w:val="auto"/>
                <w:sz w:val="20"/>
                <w:szCs w:val="20"/>
              </w:rPr>
            </w:pPr>
            <w:r>
              <w:rPr>
                <w:color w:val="auto"/>
                <w:sz w:val="20"/>
                <w:szCs w:val="20"/>
              </w:rPr>
              <w:t>联盟任务</w:t>
            </w:r>
          </w:p>
        </w:tc>
        <w:tc>
          <w:tcPr>
            <w:tcW w:w="4059" w:type="dxa"/>
            <w:vAlign w:val="center"/>
          </w:tcPr>
          <w:p>
            <w:pPr>
              <w:pStyle w:val="30"/>
              <w:ind w:firstLine="0"/>
              <w:jc w:val="center"/>
              <w:rPr>
                <w:rFonts w:ascii="Arial" w:hAnsi="Arial" w:cs="Arial"/>
                <w:color w:val="000000"/>
                <w:sz w:val="20"/>
                <w:szCs w:val="20"/>
              </w:rPr>
            </w:pPr>
            <w:r>
              <w:rPr>
                <w:rFonts w:ascii="Arial" w:hAnsi="Arial" w:cs="Arial"/>
                <w:color w:val="000000"/>
                <w:sz w:val="20"/>
                <w:szCs w:val="20"/>
              </w:rPr>
              <w:t xml:space="preserve">M08 </w:t>
            </w:r>
            <w:r>
              <w:rPr>
                <w:rFonts w:hint="eastAsia" w:ascii="Arial" w:hAnsi="Arial" w:cs="Arial"/>
                <w:color w:val="000000"/>
                <w:sz w:val="20"/>
                <w:szCs w:val="20"/>
              </w:rPr>
              <w:t>运转矩阵研究站</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2410" w:type="dxa"/>
            <w:vMerge w:val="continue"/>
            <w:vAlign w:val="center"/>
          </w:tcPr>
          <w:p>
            <w:pPr>
              <w:pStyle w:val="30"/>
              <w:ind w:firstLine="0"/>
              <w:jc w:val="center"/>
              <w:rPr>
                <w:color w:val="auto"/>
                <w:sz w:val="20"/>
                <w:szCs w:val="20"/>
              </w:rPr>
            </w:pPr>
          </w:p>
        </w:tc>
        <w:tc>
          <w:tcPr>
            <w:tcW w:w="1843" w:type="dxa"/>
            <w:vMerge w:val="continue"/>
            <w:vAlign w:val="center"/>
          </w:tcPr>
          <w:p>
            <w:pPr>
              <w:pStyle w:val="30"/>
              <w:ind w:firstLine="0"/>
              <w:jc w:val="center"/>
              <w:rPr>
                <w:color w:val="auto"/>
                <w:sz w:val="20"/>
                <w:szCs w:val="20"/>
              </w:rPr>
            </w:pPr>
          </w:p>
        </w:tc>
        <w:tc>
          <w:tcPr>
            <w:tcW w:w="4059" w:type="dxa"/>
            <w:vAlign w:val="center"/>
          </w:tcPr>
          <w:p>
            <w:pPr>
              <w:pStyle w:val="30"/>
              <w:ind w:firstLine="0"/>
              <w:jc w:val="center"/>
              <w:rPr>
                <w:color w:val="auto"/>
                <w:sz w:val="20"/>
                <w:szCs w:val="20"/>
              </w:rPr>
            </w:pPr>
            <w:r>
              <w:rPr>
                <w:rFonts w:ascii="Arial" w:hAnsi="Arial" w:cs="Arial"/>
                <w:color w:val="000000"/>
                <w:sz w:val="20"/>
                <w:szCs w:val="20"/>
              </w:rPr>
              <w:t xml:space="preserve">M09 </w:t>
            </w:r>
            <w:r>
              <w:rPr>
                <w:rFonts w:hint="eastAsia" w:ascii="Arial" w:hAnsi="Arial" w:cs="Arial"/>
                <w:color w:val="000000"/>
                <w:sz w:val="20"/>
                <w:szCs w:val="20"/>
              </w:rPr>
              <w:t>摆放战队标记物</w:t>
            </w:r>
          </w:p>
        </w:tc>
      </w:tr>
    </w:tbl>
    <w:p>
      <w:pPr>
        <w:pStyle w:val="63"/>
        <w:spacing w:before="156" w:beforeLines="50"/>
      </w:pPr>
      <w:r>
        <w:rPr>
          <w:rFonts w:hint="eastAsia"/>
        </w:rPr>
        <w:t>M</w:t>
      </w:r>
      <w:r>
        <w:t xml:space="preserve">01 </w:t>
      </w:r>
      <w:r>
        <w:rPr>
          <w:rFonts w:hint="eastAsia"/>
        </w:rPr>
        <w:t>采集量子芯片</w:t>
      </w:r>
    </w:p>
    <w:p>
      <w:pPr>
        <w:pStyle w:val="30"/>
        <w:rPr>
          <w:color w:val="auto"/>
          <w:szCs w:val="24"/>
        </w:rPr>
      </w:pPr>
      <w:r>
        <w:rPr>
          <w:rFonts w:hint="eastAsia" w:ascii="思源黑体 CN Heavy" w:hAnsi="思源黑体 CN Heavy" w:eastAsia="思源黑体 CN Heavy"/>
          <w:b/>
          <w:color w:val="auto"/>
        </w:rPr>
        <w:t>任务类型：</w:t>
      </w:r>
      <w:r>
        <w:rPr>
          <w:rFonts w:hint="eastAsia"/>
          <w:color w:val="auto"/>
          <w:szCs w:val="24"/>
        </w:rPr>
        <w:t>独立任务</w:t>
      </w:r>
    </w:p>
    <w:p>
      <w:pPr>
        <w:pStyle w:val="30"/>
        <w:rPr>
          <w:color w:val="auto"/>
          <w:szCs w:val="24"/>
        </w:rPr>
      </w:pPr>
      <w:r>
        <w:rPr>
          <w:rFonts w:hint="eastAsia" w:ascii="思源黑体 CN Heavy" w:hAnsi="思源黑体 CN Heavy" w:eastAsia="思源黑体 CN Heavy"/>
          <w:b/>
          <w:color w:val="auto"/>
        </w:rPr>
        <w:t>任务内容：</w:t>
      </w:r>
      <w:r>
        <w:rPr>
          <w:rFonts w:hint="eastAsia"/>
          <w:color w:val="auto"/>
          <w:szCs w:val="24"/>
        </w:rPr>
        <w:t>量子芯片是传感器的类型之一，量子芯片是智慧工厂中基础的设备之一，负责采集各种工厂数据，如温度、湿度、压力、振动、电量等，并将这些数据通过互联网传输到工厂数字化管理系统中，利用传感器监测工厂状态。机器人将摆放在起始区域的量子芯片（黄色字母方块）和有机晶体（黄色方块）完全移出起始区域，移出方块的过程中，方块的底座也需要一并移出。</w:t>
      </w:r>
    </w:p>
    <w:p>
      <w:pPr>
        <w:pStyle w:val="30"/>
        <w:rPr>
          <w:color w:val="auto"/>
          <w:szCs w:val="24"/>
        </w:rPr>
      </w:pPr>
      <w:r>
        <w:drawing>
          <wp:anchor distT="0" distB="0" distL="114300" distR="114300" simplePos="0" relativeHeight="251674624" behindDoc="0" locked="0" layoutInCell="1" allowOverlap="1">
            <wp:simplePos x="0" y="0"/>
            <wp:positionH relativeFrom="margin">
              <wp:align>center</wp:align>
            </wp:positionH>
            <wp:positionV relativeFrom="paragraph">
              <wp:posOffset>1127760</wp:posOffset>
            </wp:positionV>
            <wp:extent cx="2009140" cy="1915795"/>
            <wp:effectExtent l="0" t="0" r="0" b="8255"/>
            <wp:wrapTopAndBottom/>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009140" cy="1915795"/>
                    </a:xfrm>
                    <a:prstGeom prst="rect">
                      <a:avLst/>
                    </a:prstGeom>
                    <a:noFill/>
                    <a:ln>
                      <a:noFill/>
                    </a:ln>
                  </pic:spPr>
                </pic:pic>
              </a:graphicData>
            </a:graphic>
          </wp:anchor>
        </w:drawing>
      </w:r>
      <w:r>
        <w:rPr>
          <w:rFonts w:hint="eastAsia" w:ascii="思源黑体 CN Heavy" w:hAnsi="思源黑体 CN Heavy" w:eastAsia="思源黑体 CN Heavy"/>
          <w:b/>
          <w:color w:val="auto"/>
        </w:rPr>
        <w:t>初始状态：</w:t>
      </w:r>
      <w:r>
        <w:rPr>
          <w:rFonts w:hint="eastAsia"/>
          <w:color w:val="auto"/>
          <w:szCs w:val="24"/>
        </w:rPr>
        <w:t>黄色字母方块摆放在红方或蓝方的任务初始区域，由红蓝双方在赛前商议确定。任务初始区域共有</w:t>
      </w:r>
      <w:r>
        <w:rPr>
          <w:color w:val="auto"/>
          <w:szCs w:val="24"/>
        </w:rPr>
        <w:t>4</w:t>
      </w:r>
      <w:r>
        <w:rPr>
          <w:rFonts w:hint="eastAsia"/>
          <w:color w:val="auto"/>
          <w:szCs w:val="24"/>
        </w:rPr>
        <w:t>个位置，本方黄色字母方块（</w:t>
      </w:r>
      <w:r>
        <w:rPr>
          <w:color w:val="auto"/>
          <w:szCs w:val="24"/>
        </w:rPr>
        <w:t>K朝上）或黄色方块</w:t>
      </w:r>
      <w:r>
        <w:rPr>
          <w:rFonts w:hint="eastAsia"/>
          <w:color w:val="auto"/>
          <w:szCs w:val="24"/>
        </w:rPr>
        <w:t>及其底座的摆放位置由现场抽签确定，其中一种摆放方式如下图，</w:t>
      </w:r>
      <w:r>
        <w:rPr>
          <w:color w:val="auto"/>
          <w:szCs w:val="24"/>
        </w:rPr>
        <w:t>该</w:t>
      </w:r>
      <w:r>
        <w:rPr>
          <w:rFonts w:hint="eastAsia"/>
          <w:color w:val="auto"/>
          <w:szCs w:val="24"/>
        </w:rPr>
        <w:t>得分</w:t>
      </w:r>
      <w:r>
        <w:rPr>
          <w:color w:val="auto"/>
          <w:szCs w:val="24"/>
        </w:rPr>
        <w:t>道具不进行粘贴固定</w:t>
      </w:r>
      <w:r>
        <w:rPr>
          <w:rFonts w:hint="eastAsia"/>
          <w:color w:val="auto"/>
          <w:szCs w:val="24"/>
        </w:rPr>
        <w:t>。</w:t>
      </w:r>
    </w:p>
    <w:p>
      <w:pPr>
        <w:pStyle w:val="30"/>
        <w:spacing w:after="156" w:afterLines="50"/>
        <w:ind w:firstLine="0"/>
        <w:jc w:val="center"/>
        <w:rPr>
          <w:bCs/>
          <w:color w:val="auto"/>
        </w:rPr>
      </w:pPr>
      <w:r>
        <w:rPr>
          <w:rFonts w:hint="eastAsia"/>
          <w:bCs/>
          <w:color w:val="auto"/>
        </w:rPr>
        <w:t>图</w:t>
      </w:r>
      <w:r>
        <w:rPr>
          <w:rFonts w:hint="eastAsia"/>
          <w:bCs/>
          <w:color w:val="auto"/>
          <w:lang w:val="en-US" w:eastAsia="zh-CN"/>
        </w:rPr>
        <w:t>1</w:t>
      </w:r>
      <w:r>
        <w:rPr>
          <w:bCs/>
          <w:color w:val="auto"/>
        </w:rPr>
        <w:t>.4-2 M01</w:t>
      </w:r>
      <w:r>
        <w:rPr>
          <w:rFonts w:hint="eastAsia"/>
          <w:bCs/>
          <w:color w:val="auto"/>
        </w:rPr>
        <w:t>任务初始位置示意图</w:t>
      </w:r>
    </w:p>
    <w:p>
      <w:pPr>
        <w:pStyle w:val="30"/>
        <w:rPr>
          <w:color w:val="auto"/>
          <w:szCs w:val="24"/>
        </w:rPr>
      </w:pPr>
      <w:r>
        <w:rPr>
          <w:rFonts w:hint="eastAsia" w:ascii="思源黑体 CN Heavy" w:hAnsi="思源黑体 CN Heavy" w:eastAsia="思源黑体 CN Heavy"/>
          <w:b/>
          <w:color w:val="auto"/>
        </w:rPr>
        <w:t>任务分值：</w:t>
      </w:r>
      <w:r>
        <w:rPr>
          <w:rFonts w:hint="eastAsia"/>
          <w:color w:val="auto"/>
          <w:szCs w:val="24"/>
        </w:rPr>
        <w:t>每成功移出一个方块及底座，计2</w:t>
      </w:r>
      <w:r>
        <w:rPr>
          <w:color w:val="auto"/>
          <w:szCs w:val="24"/>
        </w:rPr>
        <w:t>0</w:t>
      </w:r>
      <w:r>
        <w:rPr>
          <w:rFonts w:hint="eastAsia"/>
          <w:color w:val="auto"/>
          <w:szCs w:val="24"/>
        </w:rPr>
        <w:t>分</w:t>
      </w:r>
      <w:r>
        <w:rPr>
          <w:color w:val="auto"/>
          <w:szCs w:val="24"/>
        </w:rPr>
        <w:t>。</w:t>
      </w:r>
    </w:p>
    <w:p>
      <w:pPr>
        <w:pStyle w:val="30"/>
        <w:rPr>
          <w:color w:val="auto"/>
          <w:szCs w:val="24"/>
        </w:rPr>
      </w:pPr>
      <w:r>
        <w:rPr>
          <w:rFonts w:hint="eastAsia" w:ascii="思源黑体 CN Heavy" w:hAnsi="思源黑体 CN Heavy" w:eastAsia="思源黑体 CN Heavy"/>
          <w:b/>
          <w:color w:val="auto"/>
        </w:rPr>
        <w:t>得分判定：</w:t>
      </w:r>
      <w:r>
        <w:rPr>
          <w:rFonts w:hint="eastAsia"/>
          <w:color w:val="auto"/>
          <w:szCs w:val="24"/>
        </w:rPr>
        <w:t>自动控制阶段结束后的计分时刻：</w:t>
      </w:r>
    </w:p>
    <w:p>
      <w:pPr>
        <w:pStyle w:val="30"/>
        <w:rPr>
          <w:color w:val="auto"/>
          <w:szCs w:val="24"/>
        </w:rPr>
      </w:pPr>
      <w:r>
        <w:rPr>
          <w:color w:val="auto"/>
          <w:szCs w:val="24"/>
        </w:rPr>
        <w:t>a.</w:t>
      </w:r>
      <w:r>
        <w:rPr>
          <w:rFonts w:hint="eastAsia"/>
          <w:color w:val="auto"/>
          <w:szCs w:val="24"/>
        </w:rPr>
        <w:t>黄色方块（包括底座）的垂直投影完全离开初始区域</w:t>
      </w:r>
      <w:r>
        <w:rPr>
          <w:color w:val="auto"/>
          <w:szCs w:val="24"/>
        </w:rPr>
        <w:t>；</w:t>
      </w:r>
    </w:p>
    <w:p>
      <w:pPr>
        <w:pStyle w:val="30"/>
        <w:rPr>
          <w:color w:val="auto"/>
          <w:szCs w:val="24"/>
        </w:rPr>
      </w:pPr>
      <w:r>
        <w:rPr>
          <w:color w:val="auto"/>
          <w:szCs w:val="24"/>
        </w:rPr>
        <w:t>b.</w:t>
      </w:r>
      <w:r>
        <w:rPr>
          <w:rFonts w:hint="eastAsia"/>
          <w:color w:val="auto"/>
          <w:szCs w:val="24"/>
        </w:rPr>
        <w:t>黄色方块（包括底座）须</w:t>
      </w:r>
      <w:r>
        <w:rPr>
          <w:color w:val="auto"/>
          <w:szCs w:val="24"/>
        </w:rPr>
        <w:t>完全位于场地内；</w:t>
      </w:r>
    </w:p>
    <w:p>
      <w:pPr>
        <w:pStyle w:val="30"/>
        <w:rPr>
          <w:color w:val="auto"/>
          <w:szCs w:val="24"/>
        </w:rPr>
      </w:pPr>
      <w:r>
        <w:rPr>
          <w:rFonts w:hint="eastAsia"/>
          <w:color w:val="auto"/>
          <w:szCs w:val="24"/>
        </w:rPr>
        <w:t>c</w:t>
      </w:r>
      <w:r>
        <w:rPr>
          <w:color w:val="auto"/>
          <w:szCs w:val="24"/>
        </w:rPr>
        <w:t>.</w:t>
      </w:r>
      <w:r>
        <w:rPr>
          <w:rFonts w:hint="eastAsia"/>
          <w:color w:val="auto"/>
          <w:szCs w:val="24"/>
        </w:rPr>
        <w:t>黄色方块与底座不分离；</w:t>
      </w:r>
    </w:p>
    <w:p>
      <w:pPr>
        <w:pStyle w:val="30"/>
        <w:rPr>
          <w:color w:val="auto"/>
          <w:szCs w:val="24"/>
        </w:rPr>
      </w:pPr>
      <w:r>
        <w:rPr>
          <w:color w:val="auto"/>
          <w:szCs w:val="24"/>
        </w:rPr>
        <w:t>d</w:t>
      </w:r>
      <w:r>
        <w:rPr>
          <w:rFonts w:hint="eastAsia"/>
          <w:color w:val="auto"/>
          <w:szCs w:val="24"/>
        </w:rPr>
        <w:t>.黄色方块（包括底座）</w:t>
      </w:r>
      <w:r>
        <w:rPr>
          <w:color w:val="auto"/>
          <w:szCs w:val="24"/>
        </w:rPr>
        <w:t>与机器人无接触；</w:t>
      </w:r>
    </w:p>
    <w:p>
      <w:pPr>
        <w:pStyle w:val="30"/>
        <w:rPr>
          <w:color w:val="auto"/>
          <w:szCs w:val="24"/>
        </w:rPr>
      </w:pPr>
      <w:r>
        <w:rPr>
          <w:rFonts w:hint="eastAsia"/>
          <w:color w:val="auto"/>
          <w:szCs w:val="24"/>
        </w:rPr>
        <w:t>以上判定均满足，则对应的黄色方块得分。</w:t>
      </w:r>
    </w:p>
    <w:p>
      <w:pPr>
        <w:pStyle w:val="30"/>
        <w:rPr>
          <w:color w:val="auto"/>
          <w:szCs w:val="24"/>
        </w:rPr>
      </w:pPr>
      <w:r>
        <w:rPr>
          <w:color w:val="auto"/>
          <w:szCs w:val="24"/>
        </w:rPr>
        <w:drawing>
          <wp:anchor distT="0" distB="0" distL="114300" distR="114300" simplePos="0" relativeHeight="251675648" behindDoc="0" locked="0" layoutInCell="1" allowOverlap="1">
            <wp:simplePos x="0" y="0"/>
            <wp:positionH relativeFrom="margin">
              <wp:align>right</wp:align>
            </wp:positionH>
            <wp:positionV relativeFrom="paragraph">
              <wp:posOffset>685165</wp:posOffset>
            </wp:positionV>
            <wp:extent cx="5278120" cy="1261745"/>
            <wp:effectExtent l="0" t="0" r="0" b="0"/>
            <wp:wrapTopAndBottom/>
            <wp:docPr id="5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1"/>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278120" cy="1261745"/>
                    </a:xfrm>
                    <a:prstGeom prst="rect">
                      <a:avLst/>
                    </a:prstGeom>
                  </pic:spPr>
                </pic:pic>
              </a:graphicData>
            </a:graphic>
          </wp:anchor>
        </w:drawing>
      </w:r>
      <w:r>
        <w:rPr>
          <w:rFonts w:hint="eastAsia"/>
          <w:b/>
          <w:bCs/>
          <w:color w:val="auto"/>
          <w:szCs w:val="24"/>
        </w:rPr>
        <w:t>场地：</w:t>
      </w:r>
      <w:r>
        <w:rPr>
          <w:rFonts w:hint="eastAsia"/>
          <w:color w:val="auto"/>
          <w:szCs w:val="24"/>
        </w:rPr>
        <w:t>包括地图以及场地边框内侧和上表面，不包括场地边框外表面、桌面、地面等。</w:t>
      </w:r>
    </w:p>
    <w:p>
      <w:pPr>
        <w:pStyle w:val="30"/>
        <w:spacing w:after="156" w:afterLines="50"/>
        <w:ind w:firstLine="0"/>
        <w:jc w:val="center"/>
        <w:rPr>
          <w:bCs/>
          <w:color w:val="auto"/>
        </w:rPr>
      </w:pPr>
      <w:r>
        <w:rPr>
          <w:rFonts w:hint="eastAsia"/>
          <w:bCs/>
          <w:color w:val="auto"/>
        </w:rPr>
        <w:t>图</w:t>
      </w:r>
      <w:r>
        <w:rPr>
          <w:rFonts w:hint="eastAsia"/>
          <w:bCs/>
          <w:color w:val="auto"/>
          <w:lang w:val="en-US" w:eastAsia="zh-CN"/>
        </w:rPr>
        <w:t>1</w:t>
      </w:r>
      <w:r>
        <w:rPr>
          <w:bCs/>
          <w:color w:val="auto"/>
        </w:rPr>
        <w:t>.4-3 M01</w:t>
      </w:r>
      <w:r>
        <w:rPr>
          <w:rFonts w:hint="eastAsia"/>
          <w:bCs/>
          <w:color w:val="auto"/>
        </w:rPr>
        <w:t>任务得分判定图</w:t>
      </w:r>
      <w:r>
        <w:rPr>
          <w:bCs/>
          <w:color w:val="auto"/>
        </w:rPr>
        <w:t xml:space="preserve"> </w:t>
      </w:r>
    </w:p>
    <w:p>
      <w:pPr>
        <w:pStyle w:val="63"/>
      </w:pPr>
      <w:r>
        <w:rPr>
          <w:rFonts w:hint="eastAsia"/>
        </w:rPr>
        <w:t>M</w:t>
      </w:r>
      <w:r>
        <w:t xml:space="preserve">02 </w:t>
      </w:r>
      <w:r>
        <w:rPr>
          <w:rFonts w:hint="eastAsia"/>
        </w:rPr>
        <w:t>转运量子芯片和有机晶体</w:t>
      </w:r>
    </w:p>
    <w:p>
      <w:pPr>
        <w:pStyle w:val="30"/>
        <w:rPr>
          <w:color w:val="auto"/>
          <w:szCs w:val="24"/>
        </w:rPr>
      </w:pPr>
      <w:r>
        <w:rPr>
          <w:rFonts w:hint="eastAsia" w:ascii="思源黑体 CN Heavy" w:hAnsi="思源黑体 CN Heavy" w:eastAsia="思源黑体 CN Heavy"/>
          <w:b/>
          <w:color w:val="auto"/>
        </w:rPr>
        <w:t>任务类型：</w:t>
      </w:r>
      <w:r>
        <w:rPr>
          <w:rFonts w:hint="eastAsia"/>
          <w:color w:val="auto"/>
          <w:szCs w:val="24"/>
        </w:rPr>
        <w:t>独立任务</w:t>
      </w:r>
    </w:p>
    <w:p>
      <w:pPr>
        <w:pStyle w:val="30"/>
        <w:rPr>
          <w:color w:val="auto"/>
          <w:szCs w:val="24"/>
        </w:rPr>
      </w:pPr>
      <w:r>
        <w:rPr>
          <w:rFonts w:hint="eastAsia" w:ascii="思源黑体 CN Heavy" w:hAnsi="思源黑体 CN Heavy" w:eastAsia="思源黑体 CN Heavy"/>
          <w:b/>
          <w:color w:val="auto"/>
        </w:rPr>
        <w:t>任务内容：</w:t>
      </w:r>
      <w:r>
        <w:rPr>
          <w:rFonts w:hint="eastAsia"/>
          <w:color w:val="auto"/>
          <w:szCs w:val="24"/>
        </w:rPr>
        <w:t>智慧物流可以有效提高工厂物流的速度和准确度，机器人需要将有机晶体或量子芯片连同底座，利用高速分拣器（转运滑轨装置）转运至待转移区域，并确保成品货物和传感器牢固地固定在输送的滑车上。</w:t>
      </w:r>
    </w:p>
    <w:p>
      <w:pPr>
        <w:pStyle w:val="30"/>
        <w:rPr>
          <w:color w:val="auto"/>
          <w:szCs w:val="24"/>
        </w:rPr>
      </w:pPr>
      <w:r>
        <w:rPr>
          <w:color w:val="auto"/>
          <w:szCs w:val="24"/>
        </w:rPr>
        <w:drawing>
          <wp:anchor distT="0" distB="0" distL="114300" distR="114300" simplePos="0" relativeHeight="251705344" behindDoc="0" locked="0" layoutInCell="1" allowOverlap="1">
            <wp:simplePos x="0" y="0"/>
            <wp:positionH relativeFrom="margin">
              <wp:align>left</wp:align>
            </wp:positionH>
            <wp:positionV relativeFrom="paragraph">
              <wp:posOffset>1414780</wp:posOffset>
            </wp:positionV>
            <wp:extent cx="5135245" cy="2140585"/>
            <wp:effectExtent l="0" t="0" r="8255" b="0"/>
            <wp:wrapTopAndBottom/>
            <wp:docPr id="2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7"/>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0"/>
                      <a:ext cx="5135245" cy="2140585"/>
                    </a:xfrm>
                    <a:prstGeom prst="rect">
                      <a:avLst/>
                    </a:prstGeom>
                  </pic:spPr>
                </pic:pic>
              </a:graphicData>
            </a:graphic>
          </wp:anchor>
        </w:drawing>
      </w:r>
      <w:r>
        <w:rPr>
          <w:rFonts w:hint="eastAsia" w:ascii="思源黑体 CN Heavy" w:hAnsi="思源黑体 CN Heavy" w:eastAsia="思源黑体 CN Heavy"/>
          <w:b/>
          <w:color w:val="auto"/>
        </w:rPr>
        <w:t>初始状态：</w:t>
      </w:r>
      <w:r>
        <w:rPr>
          <w:rFonts w:hint="eastAsia"/>
          <w:color w:val="auto"/>
          <w:szCs w:val="24"/>
        </w:rPr>
        <w:t>转运滑轨装置固定在手动任务区与自动任务区中央的扁铝上方，靠近中央与扁铝连接处的八棱柱，滑轨位置指向图中虚线框的中央，滑车部分完全位于自动任务区内，而滑轨装置倾斜位于手动任务区内，滑车部分配备了磁铁，以确保方块底座与滑车部分之间的连接。任务的得分道具源于任务M</w:t>
      </w:r>
      <w:r>
        <w:rPr>
          <w:color w:val="auto"/>
          <w:szCs w:val="24"/>
        </w:rPr>
        <w:t>01</w:t>
      </w:r>
      <w:r>
        <w:rPr>
          <w:rFonts w:hint="eastAsia"/>
          <w:color w:val="auto"/>
          <w:szCs w:val="24"/>
        </w:rPr>
        <w:t>的黄色字母方块或黄色方块（包括底座）。</w:t>
      </w:r>
    </w:p>
    <w:p>
      <w:pPr>
        <w:pStyle w:val="30"/>
        <w:spacing w:after="156" w:afterLines="50"/>
        <w:ind w:firstLine="0"/>
        <w:jc w:val="center"/>
        <w:rPr>
          <w:bCs/>
          <w:color w:val="auto"/>
        </w:rPr>
      </w:pPr>
      <w:r>
        <w:rPr>
          <w:rFonts w:hint="eastAsia"/>
          <w:bCs/>
          <w:color w:val="auto"/>
        </w:rPr>
        <w:t>图</w:t>
      </w:r>
      <w:r>
        <w:rPr>
          <w:rFonts w:hint="eastAsia"/>
          <w:bCs/>
          <w:color w:val="auto"/>
          <w:lang w:val="en-US" w:eastAsia="zh-CN"/>
        </w:rPr>
        <w:t>1</w:t>
      </w:r>
      <w:r>
        <w:rPr>
          <w:bCs/>
          <w:color w:val="auto"/>
        </w:rPr>
        <w:t xml:space="preserve">.4-4 </w:t>
      </w:r>
      <w:r>
        <w:rPr>
          <w:rFonts w:hint="eastAsia"/>
          <w:bCs/>
          <w:color w:val="auto"/>
        </w:rPr>
        <w:t>M</w:t>
      </w:r>
      <w:r>
        <w:rPr>
          <w:bCs/>
          <w:color w:val="auto"/>
        </w:rPr>
        <w:t>02</w:t>
      </w:r>
      <w:r>
        <w:rPr>
          <w:rFonts w:hint="eastAsia"/>
          <w:bCs/>
          <w:color w:val="auto"/>
        </w:rPr>
        <w:t>任务初始位置示意图</w:t>
      </w:r>
    </w:p>
    <w:p>
      <w:pPr>
        <w:pStyle w:val="30"/>
        <w:rPr>
          <w:rFonts w:ascii="思源黑体 CN Heavy" w:hAnsi="思源黑体 CN Heavy" w:eastAsia="思源黑体 CN Heavy"/>
          <w:b/>
          <w:color w:val="auto"/>
        </w:rPr>
      </w:pPr>
      <w:r>
        <w:rPr>
          <w:rFonts w:hint="eastAsia" w:ascii="思源黑体 CN Heavy" w:hAnsi="思源黑体 CN Heavy" w:eastAsia="思源黑体 CN Heavy"/>
          <w:b/>
          <w:color w:val="auto"/>
        </w:rPr>
        <w:t>任务分值：</w:t>
      </w:r>
      <w:r>
        <w:rPr>
          <w:rFonts w:hint="eastAsia"/>
          <w:color w:val="auto"/>
          <w:szCs w:val="24"/>
        </w:rPr>
        <w:t>成功运送至手动区域内的黄色字母方块或黄色方块（包括底座），计</w:t>
      </w:r>
      <w:r>
        <w:rPr>
          <w:color w:val="auto"/>
          <w:szCs w:val="24"/>
        </w:rPr>
        <w:t>30分</w:t>
      </w:r>
      <w:r>
        <w:rPr>
          <w:rFonts w:hint="eastAsia"/>
          <w:color w:val="auto"/>
          <w:szCs w:val="24"/>
        </w:rPr>
        <w:t>。</w:t>
      </w:r>
    </w:p>
    <w:p>
      <w:pPr>
        <w:pStyle w:val="30"/>
        <w:rPr>
          <w:color w:val="auto"/>
          <w:szCs w:val="24"/>
        </w:rPr>
      </w:pPr>
      <w:r>
        <w:rPr>
          <w:rFonts w:hint="eastAsia" w:ascii="思源黑体 CN Heavy" w:hAnsi="思源黑体 CN Heavy" w:eastAsia="思源黑体 CN Heavy"/>
          <w:b/>
          <w:color w:val="auto"/>
        </w:rPr>
        <w:t>得分判定：</w:t>
      </w:r>
      <w:r>
        <w:rPr>
          <w:rFonts w:hint="eastAsia"/>
          <w:color w:val="auto"/>
          <w:szCs w:val="24"/>
        </w:rPr>
        <w:t>自动控制阶段结束后的计分时刻：</w:t>
      </w:r>
    </w:p>
    <w:p>
      <w:pPr>
        <w:pStyle w:val="30"/>
        <w:rPr>
          <w:color w:val="auto"/>
          <w:szCs w:val="24"/>
        </w:rPr>
      </w:pPr>
      <w:r>
        <w:rPr>
          <w:color w:val="auto"/>
          <w:szCs w:val="24"/>
        </w:rPr>
        <w:t>a.</w:t>
      </w:r>
      <w:r>
        <w:rPr>
          <w:rFonts w:hint="eastAsia"/>
          <w:color w:val="auto"/>
          <w:szCs w:val="24"/>
        </w:rPr>
        <w:t>黄色字母方块或黄色方块（包括底座）及滑车垂直投影完全位于手动区域；</w:t>
      </w:r>
    </w:p>
    <w:p>
      <w:pPr>
        <w:pStyle w:val="30"/>
        <w:rPr>
          <w:color w:val="auto"/>
          <w:szCs w:val="24"/>
        </w:rPr>
      </w:pPr>
      <w:r>
        <w:rPr>
          <w:color w:val="auto"/>
          <w:szCs w:val="24"/>
        </w:rPr>
        <w:t>b.</w:t>
      </w:r>
      <w:r>
        <w:rPr>
          <w:rFonts w:hint="eastAsia"/>
          <w:color w:val="auto"/>
          <w:szCs w:val="24"/>
        </w:rPr>
        <w:t>黄色字母方块或黄色方块（包括底座）吸附于滑车上未脱落；</w:t>
      </w:r>
    </w:p>
    <w:p>
      <w:pPr>
        <w:pStyle w:val="30"/>
        <w:rPr>
          <w:color w:val="auto"/>
          <w:szCs w:val="24"/>
        </w:rPr>
      </w:pPr>
      <w:r>
        <w:rPr>
          <w:rFonts w:hint="eastAsia"/>
          <w:color w:val="auto"/>
          <w:szCs w:val="24"/>
        </w:rPr>
        <w:t>c.机器人与转运滑轨装置及黄色字母方块或黄色方块（包括底座）无直接接触；</w:t>
      </w:r>
    </w:p>
    <w:p>
      <w:pPr>
        <w:pStyle w:val="30"/>
        <w:rPr>
          <w:color w:val="auto"/>
          <w:szCs w:val="24"/>
        </w:rPr>
      </w:pPr>
      <w:r>
        <w:drawing>
          <wp:anchor distT="0" distB="0" distL="114300" distR="114300" simplePos="0" relativeHeight="251676672" behindDoc="0" locked="0" layoutInCell="1" allowOverlap="1">
            <wp:simplePos x="0" y="0"/>
            <wp:positionH relativeFrom="margin">
              <wp:align>center</wp:align>
            </wp:positionH>
            <wp:positionV relativeFrom="paragraph">
              <wp:posOffset>333375</wp:posOffset>
            </wp:positionV>
            <wp:extent cx="3439160" cy="1619250"/>
            <wp:effectExtent l="0" t="0" r="8890" b="0"/>
            <wp:wrapTopAndBottom/>
            <wp:docPr id="58" name="Drawing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Drawing 31"/>
                    <pic:cNvPicPr>
                      <a:picLocks noChangeAspect="1"/>
                    </pic:cNvPicPr>
                  </pic:nvPicPr>
                  <pic:blipFill>
                    <a:blip r:embed="rId34" cstate="print">
                      <a:extLst>
                        <a:ext uri="{28A0092B-C50C-407E-A947-70E740481C1C}">
                          <a14:useLocalDpi xmlns:a14="http://schemas.microsoft.com/office/drawing/2010/main" val="0"/>
                        </a:ext>
                      </a:extLst>
                    </a:blip>
                    <a:srcRect t="9859" b="27361"/>
                    <a:stretch>
                      <a:fillRect/>
                    </a:stretch>
                  </pic:blipFill>
                  <pic:spPr>
                    <a:xfrm>
                      <a:off x="0" y="0"/>
                      <a:ext cx="3439160" cy="1619250"/>
                    </a:xfrm>
                    <a:prstGeom prst="rect">
                      <a:avLst/>
                    </a:prstGeom>
                    <a:ln>
                      <a:noFill/>
                    </a:ln>
                  </pic:spPr>
                </pic:pic>
              </a:graphicData>
            </a:graphic>
          </wp:anchor>
        </w:drawing>
      </w:r>
      <w:r>
        <w:rPr>
          <w:rFonts w:hint="eastAsia"/>
          <w:color w:val="auto"/>
          <w:szCs w:val="24"/>
        </w:rPr>
        <w:t>以上判定均满足，则对应的黄色字母方块或黄色方块得分。</w:t>
      </w:r>
    </w:p>
    <w:p>
      <w:pPr>
        <w:pStyle w:val="30"/>
        <w:jc w:val="center"/>
        <w:rPr>
          <w:color w:val="auto"/>
          <w:szCs w:val="24"/>
        </w:rPr>
      </w:pPr>
      <w:r>
        <w:rPr>
          <w:rFonts w:hint="eastAsia"/>
          <w:bCs/>
          <w:color w:val="auto"/>
        </w:rPr>
        <w:t>图</w:t>
      </w:r>
      <w:r>
        <w:rPr>
          <w:rFonts w:hint="eastAsia"/>
          <w:bCs/>
          <w:color w:val="auto"/>
          <w:lang w:val="en-US" w:eastAsia="zh-CN"/>
        </w:rPr>
        <w:t>1</w:t>
      </w:r>
      <w:r>
        <w:rPr>
          <w:bCs/>
          <w:color w:val="auto"/>
        </w:rPr>
        <w:t>.4-5 M02</w:t>
      </w:r>
      <w:r>
        <w:rPr>
          <w:rFonts w:hint="eastAsia"/>
          <w:bCs/>
          <w:color w:val="auto"/>
        </w:rPr>
        <w:t>任务得分判定图</w:t>
      </w:r>
    </w:p>
    <w:p>
      <w:pPr>
        <w:pStyle w:val="63"/>
      </w:pPr>
      <w:r>
        <w:rPr>
          <w:rFonts w:hint="eastAsia"/>
        </w:rPr>
        <w:t>M</w:t>
      </w:r>
      <w:r>
        <w:t xml:space="preserve">03 </w:t>
      </w:r>
      <w:r>
        <w:rPr>
          <w:rFonts w:hint="eastAsia"/>
        </w:rPr>
        <w:t>采集数据块</w:t>
      </w:r>
    </w:p>
    <w:p>
      <w:pPr>
        <w:pStyle w:val="30"/>
        <w:rPr>
          <w:color w:val="auto"/>
          <w:szCs w:val="24"/>
        </w:rPr>
      </w:pPr>
      <w:r>
        <w:rPr>
          <w:rFonts w:hint="eastAsia" w:ascii="思源黑体 CN Heavy" w:hAnsi="思源黑体 CN Heavy" w:eastAsia="思源黑体 CN Heavy"/>
          <w:b/>
          <w:color w:val="auto"/>
        </w:rPr>
        <w:t>任务类型：</w:t>
      </w:r>
      <w:r>
        <w:rPr>
          <w:rFonts w:hint="eastAsia"/>
          <w:color w:val="auto"/>
          <w:szCs w:val="24"/>
        </w:rPr>
        <w:t>独立任务</w:t>
      </w:r>
    </w:p>
    <w:p>
      <w:pPr>
        <w:pStyle w:val="30"/>
        <w:rPr>
          <w:color w:val="auto"/>
          <w:szCs w:val="24"/>
        </w:rPr>
      </w:pPr>
      <w:r>
        <w:rPr>
          <w:rFonts w:hint="eastAsia" w:ascii="思源黑体 CN Heavy" w:hAnsi="思源黑体 CN Heavy" w:eastAsia="思源黑体 CN Heavy"/>
          <w:b/>
          <w:color w:val="auto"/>
        </w:rPr>
        <w:t>任务内容：</w:t>
      </w:r>
      <w:r>
        <w:rPr>
          <w:rFonts w:hint="eastAsia"/>
          <w:color w:val="auto"/>
          <w:szCs w:val="24"/>
        </w:rPr>
        <w:t>制造中产生的废物废水需要净化处理，工厂的自动化运转也需要数据块的支持。机器人利用物流配送器（方块推离装置），获取蓝色数据块和红色数据块，分类处理生产过程中产生的污染物利用物流配送器，对工厂的成品、污染物、芯片分类，获取更多环保数据块。</w:t>
      </w:r>
    </w:p>
    <w:p>
      <w:pPr>
        <w:pStyle w:val="30"/>
        <w:rPr>
          <w:color w:val="auto"/>
          <w:szCs w:val="24"/>
        </w:rPr>
      </w:pPr>
      <w:r>
        <w:rPr>
          <w:rFonts w:hint="eastAsia" w:ascii="思源黑体 CN Heavy" w:hAnsi="思源黑体 CN Heavy" w:eastAsia="思源黑体 CN Heavy"/>
          <w:b/>
          <w:color w:val="auto"/>
        </w:rPr>
        <w:t>初始状态：</w:t>
      </w:r>
      <w:r>
        <w:rPr>
          <w:rFonts w:hint="eastAsia"/>
          <w:color w:val="auto"/>
          <w:szCs w:val="24"/>
        </w:rPr>
        <w:t>物流配送器位于红蓝双方场地启动区的左上角。每个装置平台上都放置有一个红色或蓝色字母方块，其放置方块的平台具有一个开放的面，朝向手动区域。物流配送器底座的两根双孔梁通过</w:t>
      </w:r>
      <w:r>
        <w:rPr>
          <w:color w:val="auto"/>
          <w:szCs w:val="24"/>
        </w:rPr>
        <w:t>磁铁吸附并固定在地图上。</w:t>
      </w:r>
      <w:r>
        <w:rPr>
          <w:rFonts w:hint="eastAsia"/>
          <w:color w:val="auto"/>
          <w:szCs w:val="24"/>
        </w:rPr>
        <w:t>物流配送器摆放位置如图所示（以蓝方为例），地图上的磁条标识如图所示（标记为a、b、c），物流配送器底座上的圆磁片标识如下图（标记为A、B、C），其中，圆磁片A需放置于磁条a上标注的红点，圆磁片B放置于磁条b上，圆磁片C放置于磁条c上。</w:t>
      </w:r>
    </w:p>
    <w:p>
      <w:pPr>
        <w:pStyle w:val="30"/>
        <w:spacing w:after="156" w:afterLines="50"/>
        <w:ind w:firstLine="0"/>
        <w:jc w:val="center"/>
        <w:rPr>
          <w:bCs/>
          <w:color w:val="auto"/>
        </w:rPr>
      </w:pPr>
      <w:r>
        <w:rPr>
          <w:bCs/>
          <w:color w:val="auto"/>
        </w:rPr>
        <w:drawing>
          <wp:anchor distT="0" distB="0" distL="114300" distR="114300" simplePos="0" relativeHeight="251701248" behindDoc="0" locked="0" layoutInCell="1" allowOverlap="1">
            <wp:simplePos x="0" y="0"/>
            <wp:positionH relativeFrom="margin">
              <wp:posOffset>-308610</wp:posOffset>
            </wp:positionH>
            <wp:positionV relativeFrom="paragraph">
              <wp:posOffset>1339215</wp:posOffset>
            </wp:positionV>
            <wp:extent cx="5278120" cy="2212340"/>
            <wp:effectExtent l="0" t="0" r="0" b="0"/>
            <wp:wrapTopAndBottom/>
            <wp:docPr id="7"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5"/>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278120" cy="2212340"/>
                    </a:xfrm>
                    <a:prstGeom prst="rect">
                      <a:avLst/>
                    </a:prstGeom>
                  </pic:spPr>
                </pic:pic>
              </a:graphicData>
            </a:graphic>
          </wp:anchor>
        </w:drawing>
      </w:r>
      <w:r>
        <w:rPr>
          <w:color w:val="auto"/>
          <w:szCs w:val="24"/>
        </w:rPr>
        <w:drawing>
          <wp:anchor distT="0" distB="0" distL="114300" distR="114300" simplePos="0" relativeHeight="251684864" behindDoc="0" locked="0" layoutInCell="1" allowOverlap="1">
            <wp:simplePos x="0" y="0"/>
            <wp:positionH relativeFrom="margin">
              <wp:align>center</wp:align>
            </wp:positionH>
            <wp:positionV relativeFrom="paragraph">
              <wp:posOffset>86995</wp:posOffset>
            </wp:positionV>
            <wp:extent cx="2495550" cy="1231265"/>
            <wp:effectExtent l="0" t="0" r="0" b="6985"/>
            <wp:wrapTopAndBottom/>
            <wp:docPr id="30"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9"/>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495550" cy="1231265"/>
                    </a:xfrm>
                    <a:prstGeom prst="rect">
                      <a:avLst/>
                    </a:prstGeom>
                  </pic:spPr>
                </pic:pic>
              </a:graphicData>
            </a:graphic>
          </wp:anchor>
        </w:drawing>
      </w:r>
      <w:r>
        <w:rPr>
          <w:rFonts w:hint="eastAsia"/>
          <w:bCs/>
          <w:color w:val="auto"/>
        </w:rPr>
        <w:t>图</w:t>
      </w:r>
      <w:r>
        <w:rPr>
          <w:rFonts w:hint="eastAsia"/>
          <w:bCs/>
          <w:color w:val="auto"/>
          <w:lang w:val="en-US" w:eastAsia="zh-CN"/>
        </w:rPr>
        <w:t>1</w:t>
      </w:r>
      <w:r>
        <w:rPr>
          <w:bCs/>
          <w:color w:val="auto"/>
        </w:rPr>
        <w:t xml:space="preserve">.4-6 </w:t>
      </w:r>
      <w:r>
        <w:rPr>
          <w:rFonts w:hint="eastAsia"/>
          <w:bCs/>
          <w:color w:val="auto"/>
        </w:rPr>
        <w:t>M</w:t>
      </w:r>
      <w:r>
        <w:rPr>
          <w:bCs/>
          <w:color w:val="auto"/>
        </w:rPr>
        <w:t>03</w:t>
      </w:r>
      <w:r>
        <w:rPr>
          <w:rFonts w:hint="eastAsia"/>
          <w:bCs/>
          <w:color w:val="auto"/>
        </w:rPr>
        <w:t>任务初始位置示意图</w:t>
      </w:r>
    </w:p>
    <w:p>
      <w:pPr>
        <w:widowControl/>
        <w:spacing w:line="420" w:lineRule="exact"/>
        <w:ind w:firstLine="482" w:firstLineChars="200"/>
        <w:rPr>
          <w:rFonts w:cs="宋体"/>
          <w:kern w:val="0"/>
          <w:sz w:val="24"/>
          <w:szCs w:val="18"/>
        </w:rPr>
      </w:pPr>
      <w:bookmarkStart w:id="9" w:name="_Hlk80288297"/>
      <w:r>
        <w:rPr>
          <w:rFonts w:hint="eastAsia" w:ascii="思源黑体 CN Heavy" w:hAnsi="思源黑体 CN Heavy" w:eastAsia="思源黑体 CN Heavy" w:cs="微软雅黑"/>
          <w:b/>
          <w:sz w:val="24"/>
          <w:szCs w:val="21"/>
        </w:rPr>
        <w:t>任务分值</w:t>
      </w:r>
      <w:r>
        <w:rPr>
          <w:rFonts w:hint="eastAsia" w:cs="宋体"/>
          <w:kern w:val="0"/>
          <w:sz w:val="24"/>
          <w:szCs w:val="18"/>
        </w:rPr>
        <w:t>：每成功从高台上移出一个红色或蓝色字母方块，计</w:t>
      </w:r>
      <w:r>
        <w:rPr>
          <w:rFonts w:cs="宋体"/>
          <w:kern w:val="0"/>
          <w:sz w:val="24"/>
          <w:szCs w:val="18"/>
        </w:rPr>
        <w:t>30分；</w:t>
      </w:r>
      <w:bookmarkEnd w:id="9"/>
      <w:r>
        <w:rPr>
          <w:rFonts w:cs="宋体"/>
          <w:kern w:val="0"/>
          <w:sz w:val="24"/>
          <w:szCs w:val="18"/>
        </w:rPr>
        <w:t xml:space="preserve"> </w:t>
      </w:r>
    </w:p>
    <w:p>
      <w:pPr>
        <w:widowControl/>
        <w:spacing w:line="420" w:lineRule="exact"/>
        <w:ind w:firstLine="482" w:firstLineChars="200"/>
        <w:rPr>
          <w:rFonts w:cs="宋体"/>
          <w:kern w:val="0"/>
          <w:sz w:val="24"/>
          <w:szCs w:val="18"/>
        </w:rPr>
      </w:pPr>
      <w:r>
        <w:rPr>
          <w:rFonts w:hint="eastAsia" w:ascii="思源黑体 CN Heavy" w:hAnsi="思源黑体 CN Heavy" w:eastAsia="思源黑体 CN Heavy" w:cs="微软雅黑"/>
          <w:b/>
          <w:sz w:val="24"/>
          <w:szCs w:val="21"/>
        </w:rPr>
        <w:t>得分判定：</w:t>
      </w:r>
      <w:r>
        <w:rPr>
          <w:rFonts w:hint="eastAsia" w:cs="宋体"/>
          <w:kern w:val="0"/>
          <w:sz w:val="24"/>
          <w:szCs w:val="18"/>
        </w:rPr>
        <w:t>自动控制阶段结束后的计分时刻：</w:t>
      </w:r>
    </w:p>
    <w:p>
      <w:pPr>
        <w:widowControl/>
        <w:spacing w:line="420" w:lineRule="exact"/>
        <w:ind w:firstLine="480" w:firstLineChars="200"/>
        <w:rPr>
          <w:rFonts w:cs="宋体"/>
          <w:kern w:val="0"/>
          <w:sz w:val="24"/>
          <w:szCs w:val="18"/>
        </w:rPr>
      </w:pPr>
      <w:r>
        <w:rPr>
          <w:rFonts w:cs="宋体"/>
          <w:kern w:val="0"/>
          <w:sz w:val="24"/>
          <w:szCs w:val="18"/>
        </w:rPr>
        <w:t>a.</w:t>
      </w:r>
      <w:r>
        <w:rPr>
          <w:rFonts w:hint="eastAsia" w:cs="宋体"/>
          <w:kern w:val="0"/>
          <w:sz w:val="24"/>
          <w:szCs w:val="18"/>
        </w:rPr>
        <w:t>红色或蓝色字母方块垂直投影完全位于手动任务区内；</w:t>
      </w:r>
    </w:p>
    <w:p>
      <w:pPr>
        <w:widowControl/>
        <w:spacing w:line="420" w:lineRule="exact"/>
        <w:ind w:firstLine="480" w:firstLineChars="200"/>
        <w:rPr>
          <w:rFonts w:cs="宋体"/>
          <w:kern w:val="0"/>
          <w:sz w:val="24"/>
          <w:szCs w:val="18"/>
        </w:rPr>
      </w:pPr>
      <w:r>
        <w:rPr>
          <w:rFonts w:cs="宋体"/>
          <w:kern w:val="0"/>
          <w:sz w:val="24"/>
          <w:szCs w:val="18"/>
        </w:rPr>
        <w:t>b.红色或蓝色</w:t>
      </w:r>
      <w:r>
        <w:rPr>
          <w:rFonts w:hint="eastAsia" w:cs="宋体"/>
          <w:kern w:val="0"/>
          <w:sz w:val="24"/>
          <w:szCs w:val="18"/>
        </w:rPr>
        <w:t>字母方块与方块推离装置无直接接触</w:t>
      </w:r>
      <w:r>
        <w:rPr>
          <w:rFonts w:cs="宋体"/>
          <w:kern w:val="0"/>
          <w:sz w:val="24"/>
          <w:szCs w:val="18"/>
        </w:rPr>
        <w:t>；</w:t>
      </w:r>
    </w:p>
    <w:p>
      <w:pPr>
        <w:widowControl/>
        <w:spacing w:line="420" w:lineRule="exact"/>
        <w:ind w:firstLine="480" w:firstLineChars="200"/>
        <w:rPr>
          <w:rFonts w:cs="宋体"/>
          <w:kern w:val="0"/>
          <w:sz w:val="24"/>
          <w:szCs w:val="18"/>
        </w:rPr>
      </w:pPr>
      <w:r>
        <w:rPr>
          <w:rFonts w:hint="eastAsia" w:cs="宋体"/>
          <w:kern w:val="0"/>
          <w:sz w:val="24"/>
          <w:szCs w:val="18"/>
        </w:rPr>
        <w:t>c</w:t>
      </w:r>
      <w:r>
        <w:rPr>
          <w:rFonts w:cs="宋体"/>
          <w:kern w:val="0"/>
          <w:sz w:val="24"/>
          <w:szCs w:val="18"/>
        </w:rPr>
        <w:t>.红色或蓝色</w:t>
      </w:r>
      <w:r>
        <w:rPr>
          <w:rFonts w:hint="eastAsia" w:cs="宋体"/>
          <w:kern w:val="0"/>
          <w:sz w:val="24"/>
          <w:szCs w:val="18"/>
        </w:rPr>
        <w:t>字母方块</w:t>
      </w:r>
      <w:r>
        <w:rPr>
          <w:rFonts w:cs="宋体"/>
          <w:kern w:val="0"/>
          <w:sz w:val="24"/>
          <w:szCs w:val="18"/>
        </w:rPr>
        <w:t>与机器人无</w:t>
      </w:r>
      <w:r>
        <w:rPr>
          <w:rFonts w:hint="eastAsia" w:cs="宋体"/>
          <w:kern w:val="0"/>
          <w:sz w:val="24"/>
          <w:szCs w:val="18"/>
        </w:rPr>
        <w:t>直接</w:t>
      </w:r>
      <w:r>
        <w:rPr>
          <w:rFonts w:cs="宋体"/>
          <w:kern w:val="0"/>
          <w:sz w:val="24"/>
          <w:szCs w:val="18"/>
        </w:rPr>
        <w:t>接触</w:t>
      </w:r>
      <w:r>
        <w:rPr>
          <w:rFonts w:hint="eastAsia" w:cs="宋体"/>
          <w:kern w:val="0"/>
          <w:sz w:val="24"/>
          <w:szCs w:val="18"/>
        </w:rPr>
        <w:t>；</w:t>
      </w:r>
    </w:p>
    <w:p>
      <w:pPr>
        <w:widowControl/>
        <w:spacing w:line="420" w:lineRule="exact"/>
        <w:ind w:firstLine="480" w:firstLineChars="200"/>
        <w:rPr>
          <w:rFonts w:cs="宋体"/>
          <w:kern w:val="0"/>
          <w:sz w:val="24"/>
          <w:szCs w:val="18"/>
        </w:rPr>
      </w:pPr>
      <w:r>
        <w:rPr>
          <w:rFonts w:hint="eastAsia" w:cs="宋体"/>
          <w:kern w:val="0"/>
          <w:sz w:val="24"/>
          <w:szCs w:val="18"/>
        </w:rPr>
        <w:t>d</w:t>
      </w:r>
      <w:r>
        <w:rPr>
          <w:rFonts w:cs="宋体"/>
          <w:kern w:val="0"/>
          <w:sz w:val="24"/>
          <w:szCs w:val="18"/>
        </w:rPr>
        <w:t>.方块推离装置</w:t>
      </w:r>
      <w:r>
        <w:rPr>
          <w:rFonts w:hint="eastAsia" w:cs="宋体"/>
          <w:kern w:val="0"/>
          <w:sz w:val="24"/>
          <w:szCs w:val="18"/>
        </w:rPr>
        <w:t>保持直立状态；</w:t>
      </w:r>
    </w:p>
    <w:p>
      <w:pPr>
        <w:widowControl/>
        <w:spacing w:line="420" w:lineRule="exact"/>
        <w:ind w:firstLine="480" w:firstLineChars="200"/>
        <w:rPr>
          <w:rFonts w:cs="宋体"/>
          <w:kern w:val="0"/>
          <w:sz w:val="24"/>
          <w:szCs w:val="18"/>
        </w:rPr>
      </w:pPr>
      <w:r>
        <w:rPr>
          <w:rFonts w:hint="eastAsia" w:cs="宋体"/>
          <w:kern w:val="0"/>
          <w:sz w:val="24"/>
          <w:szCs w:val="18"/>
        </w:rPr>
        <w:t>以上判定均满足，则对应的红色或蓝色字母方块得分。</w:t>
      </w:r>
    </w:p>
    <w:p>
      <w:pPr>
        <w:pStyle w:val="63"/>
      </w:pPr>
      <w:r>
        <w:rPr>
          <w:rFonts w:hint="eastAsia"/>
        </w:rPr>
        <w:t>M</w:t>
      </w:r>
      <w:r>
        <w:t xml:space="preserve">04 </w:t>
      </w:r>
      <w:r>
        <w:rPr>
          <w:rFonts w:hint="eastAsia"/>
        </w:rPr>
        <w:t>智能制造</w:t>
      </w:r>
    </w:p>
    <w:p>
      <w:pPr>
        <w:pStyle w:val="30"/>
        <w:jc w:val="left"/>
        <w:rPr>
          <w:rStyle w:val="60"/>
        </w:rPr>
      </w:pPr>
      <w:r>
        <w:rPr>
          <w:rFonts w:hint="eastAsia" w:ascii="思源黑体 CN Heavy" w:hAnsi="思源黑体 CN Heavy" w:eastAsia="思源黑体 CN Heavy"/>
          <w:b/>
          <w:color w:val="auto"/>
        </w:rPr>
        <w:t>任务类型：</w:t>
      </w:r>
      <w:r>
        <w:rPr>
          <w:rStyle w:val="60"/>
          <w:rFonts w:hint="eastAsia"/>
        </w:rPr>
        <w:t>独立任务</w:t>
      </w:r>
    </w:p>
    <w:p>
      <w:pPr>
        <w:pStyle w:val="30"/>
        <w:jc w:val="left"/>
        <w:rPr>
          <w:rStyle w:val="60"/>
        </w:rPr>
      </w:pPr>
      <w:r>
        <w:rPr>
          <w:rFonts w:hint="eastAsia" w:ascii="思源黑体 CN Heavy" w:hAnsi="思源黑体 CN Heavy" w:eastAsia="思源黑体 CN Heavy"/>
          <w:b/>
          <w:color w:val="auto"/>
        </w:rPr>
        <w:t>任务内容：</w:t>
      </w:r>
      <w:r>
        <w:rPr>
          <w:rStyle w:val="60"/>
          <w:rFonts w:hint="eastAsia"/>
        </w:rPr>
        <w:t>生产分类好的货物需要堆放保存，机器人将分类好的货物堆放在高制造台，并采集高制造台中的数据块（红色或</w:t>
      </w:r>
      <w:r>
        <w:rPr>
          <w:rStyle w:val="60"/>
        </w:rPr>
        <w:t>蓝</w:t>
      </w:r>
      <w:r>
        <w:rPr>
          <w:rStyle w:val="60"/>
          <w:rFonts w:hint="eastAsia"/>
        </w:rPr>
        <w:t>色</w:t>
      </w:r>
      <w:r>
        <w:rPr>
          <w:rStyle w:val="60"/>
        </w:rPr>
        <w:t>字母方块</w:t>
      </w:r>
      <w:r>
        <w:rPr>
          <w:rStyle w:val="60"/>
          <w:rFonts w:hint="eastAsia"/>
        </w:rPr>
        <w:t>）用于后续使用。</w:t>
      </w:r>
    </w:p>
    <w:p>
      <w:pPr>
        <w:pStyle w:val="30"/>
        <w:jc w:val="left"/>
        <w:rPr>
          <w:rStyle w:val="60"/>
        </w:rPr>
      </w:pPr>
      <w:r>
        <w:rPr>
          <w:rFonts w:hint="eastAsia" w:ascii="思源黑体 CN Heavy" w:hAnsi="思源黑体 CN Heavy" w:eastAsia="思源黑体 CN Heavy"/>
          <w:b/>
          <w:color w:val="auto"/>
        </w:rPr>
        <w:t>初始状态：</w:t>
      </w:r>
      <w:r>
        <w:rPr>
          <w:rStyle w:val="60"/>
          <w:rFonts w:hint="eastAsia"/>
        </w:rPr>
        <w:t>高制造台位于自动任务区中央靠近下方边框位置，</w:t>
      </w:r>
      <w:r>
        <w:rPr>
          <w:rStyle w:val="60"/>
        </w:rPr>
        <w:t>其四个支柱通过磁吸方式固定在地图上</w:t>
      </w:r>
      <w:r>
        <w:rPr>
          <w:rStyle w:val="60"/>
          <w:rFonts w:hint="eastAsia"/>
        </w:rPr>
        <w:t>，垂直投影完全位于图中的虚线框内。每个高制造台上各自摆放一个红色或</w:t>
      </w:r>
      <w:r>
        <w:rPr>
          <w:rStyle w:val="60"/>
        </w:rPr>
        <w:t>蓝</w:t>
      </w:r>
      <w:r>
        <w:rPr>
          <w:rStyle w:val="60"/>
          <w:rFonts w:hint="eastAsia"/>
        </w:rPr>
        <w:t>色</w:t>
      </w:r>
      <w:r>
        <w:rPr>
          <w:rStyle w:val="60"/>
        </w:rPr>
        <w:t>字母方块，字母方块嵌入在</w:t>
      </w:r>
      <w:r>
        <w:rPr>
          <w:rStyle w:val="60"/>
          <w:rFonts w:hint="eastAsia"/>
        </w:rPr>
        <w:t>高制造</w:t>
      </w:r>
      <w:r>
        <w:rPr>
          <w:rStyle w:val="60"/>
        </w:rPr>
        <w:t>台的平台中</w:t>
      </w:r>
      <w:r>
        <w:rPr>
          <w:rStyle w:val="60"/>
          <w:rFonts w:hint="eastAsia"/>
        </w:rPr>
        <w:t>，</w:t>
      </w:r>
      <w:r>
        <w:rPr>
          <w:rStyle w:val="60"/>
        </w:rPr>
        <w:t>字母方块“M”或“X”字母的朝向由赛前抽签道具卡决定。</w:t>
      </w:r>
    </w:p>
    <w:p>
      <w:pPr>
        <w:pStyle w:val="30"/>
        <w:jc w:val="center"/>
      </w:pPr>
      <w:r>
        <w:drawing>
          <wp:anchor distT="0" distB="0" distL="114300" distR="114300" simplePos="0" relativeHeight="251685888" behindDoc="0" locked="0" layoutInCell="1" allowOverlap="1">
            <wp:simplePos x="0" y="0"/>
            <wp:positionH relativeFrom="margin">
              <wp:align>center</wp:align>
            </wp:positionH>
            <wp:positionV relativeFrom="paragraph">
              <wp:posOffset>2065020</wp:posOffset>
            </wp:positionV>
            <wp:extent cx="4497070" cy="1839595"/>
            <wp:effectExtent l="0" t="0" r="0" b="8255"/>
            <wp:wrapTopAndBottom/>
            <wp:docPr id="36" name="Drawing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Drawing 35"/>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0"/>
                      <a:ext cx="4497070" cy="1839595"/>
                    </a:xfrm>
                    <a:prstGeom prst="rect">
                      <a:avLst/>
                    </a:prstGeom>
                  </pic:spPr>
                </pic:pic>
              </a:graphicData>
            </a:graphic>
          </wp:anchor>
        </w:drawing>
      </w:r>
      <w:r>
        <w:drawing>
          <wp:anchor distT="0" distB="0" distL="114300" distR="114300" simplePos="0" relativeHeight="251703296" behindDoc="0" locked="0" layoutInCell="1" allowOverlap="1">
            <wp:simplePos x="0" y="0"/>
            <wp:positionH relativeFrom="margin">
              <wp:align>center</wp:align>
            </wp:positionH>
            <wp:positionV relativeFrom="paragraph">
              <wp:posOffset>0</wp:posOffset>
            </wp:positionV>
            <wp:extent cx="3714750" cy="2009775"/>
            <wp:effectExtent l="0" t="0" r="0" b="9525"/>
            <wp:wrapTopAndBottom/>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0"/>
                      <a:ext cx="3714750" cy="2009775"/>
                    </a:xfrm>
                    <a:prstGeom prst="rect">
                      <a:avLst/>
                    </a:prstGeom>
                  </pic:spPr>
                </pic:pic>
              </a:graphicData>
            </a:graphic>
          </wp:anchor>
        </w:drawing>
      </w:r>
      <w:r>
        <w:rPr>
          <w:rFonts w:hint="eastAsia"/>
          <w:bCs/>
          <w:color w:val="auto"/>
        </w:rPr>
        <w:t>图</w:t>
      </w:r>
      <w:r>
        <w:rPr>
          <w:rFonts w:hint="eastAsia"/>
          <w:bCs/>
          <w:color w:val="auto"/>
          <w:lang w:val="en-US" w:eastAsia="zh-CN"/>
        </w:rPr>
        <w:t>1</w:t>
      </w:r>
      <w:r>
        <w:rPr>
          <w:bCs/>
          <w:color w:val="auto"/>
        </w:rPr>
        <w:t xml:space="preserve">.4-7 </w:t>
      </w:r>
      <w:r>
        <w:rPr>
          <w:rFonts w:hint="eastAsia"/>
          <w:bCs/>
          <w:color w:val="auto"/>
        </w:rPr>
        <w:t>M</w:t>
      </w:r>
      <w:r>
        <w:rPr>
          <w:bCs/>
          <w:color w:val="auto"/>
        </w:rPr>
        <w:t>04</w:t>
      </w:r>
      <w:r>
        <w:rPr>
          <w:rFonts w:hint="eastAsia"/>
          <w:bCs/>
          <w:color w:val="auto"/>
        </w:rPr>
        <w:t>任务初始位置示意图</w:t>
      </w:r>
    </w:p>
    <w:p>
      <w:pPr>
        <w:pStyle w:val="30"/>
        <w:jc w:val="left"/>
        <w:rPr>
          <w:rStyle w:val="60"/>
        </w:rPr>
      </w:pPr>
      <w:r>
        <w:rPr>
          <w:rFonts w:hint="eastAsia" w:ascii="思源黑体 CN Heavy" w:hAnsi="思源黑体 CN Heavy" w:eastAsia="思源黑体 CN Heavy"/>
          <w:b/>
          <w:color w:val="auto"/>
        </w:rPr>
        <w:t>任务分值：</w:t>
      </w:r>
      <w:r>
        <w:rPr>
          <w:rStyle w:val="60"/>
          <w:rFonts w:hint="eastAsia"/>
        </w:rPr>
        <w:t>成功移出一个字母方块，计</w:t>
      </w:r>
      <w:r>
        <w:rPr>
          <w:rStyle w:val="60"/>
        </w:rPr>
        <w:t>20分。</w:t>
      </w:r>
    </w:p>
    <w:p>
      <w:pPr>
        <w:pStyle w:val="30"/>
        <w:jc w:val="left"/>
        <w:rPr>
          <w:rStyle w:val="60"/>
        </w:rPr>
      </w:pPr>
      <w:r>
        <w:rPr>
          <w:rFonts w:hint="eastAsia" w:ascii="思源黑体 CN Heavy" w:hAnsi="思源黑体 CN Heavy" w:eastAsia="思源黑体 CN Heavy"/>
          <w:b/>
          <w:color w:val="auto"/>
        </w:rPr>
        <w:t>得分判定：</w:t>
      </w:r>
      <w:r>
        <w:rPr>
          <w:rStyle w:val="60"/>
          <w:rFonts w:hint="eastAsia"/>
        </w:rPr>
        <w:t>自动控制阶段结束后的计分时刻：</w:t>
      </w:r>
    </w:p>
    <w:p>
      <w:pPr>
        <w:pStyle w:val="30"/>
        <w:jc w:val="left"/>
        <w:rPr>
          <w:rStyle w:val="60"/>
        </w:rPr>
      </w:pPr>
      <w:r>
        <w:rPr>
          <w:rStyle w:val="60"/>
        </w:rPr>
        <w:t>a.</w:t>
      </w:r>
      <w:r>
        <w:rPr>
          <w:rStyle w:val="60"/>
          <w:rFonts w:hint="eastAsia"/>
        </w:rPr>
        <w:t>红色或</w:t>
      </w:r>
      <w:r>
        <w:rPr>
          <w:rStyle w:val="60"/>
        </w:rPr>
        <w:t>蓝</w:t>
      </w:r>
      <w:r>
        <w:rPr>
          <w:rStyle w:val="60"/>
          <w:rFonts w:hint="eastAsia"/>
        </w:rPr>
        <w:t>色字母方块完全脱离高制造台</w:t>
      </w:r>
      <w:r>
        <w:rPr>
          <w:rStyle w:val="60"/>
        </w:rPr>
        <w:t>；</w:t>
      </w:r>
    </w:p>
    <w:p>
      <w:pPr>
        <w:pStyle w:val="30"/>
        <w:jc w:val="left"/>
        <w:rPr>
          <w:rStyle w:val="60"/>
        </w:rPr>
      </w:pPr>
      <w:r>
        <w:rPr>
          <w:rStyle w:val="60"/>
        </w:rPr>
        <w:t>b.</w:t>
      </w:r>
      <w:r>
        <w:rPr>
          <w:rStyle w:val="60"/>
          <w:rFonts w:hint="eastAsia"/>
        </w:rPr>
        <w:t>红色或</w:t>
      </w:r>
      <w:r>
        <w:rPr>
          <w:rStyle w:val="60"/>
        </w:rPr>
        <w:t>蓝</w:t>
      </w:r>
      <w:r>
        <w:rPr>
          <w:rStyle w:val="60"/>
          <w:rFonts w:hint="eastAsia"/>
        </w:rPr>
        <w:t>色</w:t>
      </w:r>
      <w:r>
        <w:rPr>
          <w:rStyle w:val="60"/>
        </w:rPr>
        <w:t>字母方块</w:t>
      </w:r>
      <w:r>
        <w:rPr>
          <w:rStyle w:val="60"/>
          <w:rFonts w:hint="eastAsia"/>
        </w:rPr>
        <w:t>垂直投影</w:t>
      </w:r>
      <w:r>
        <w:rPr>
          <w:rStyle w:val="60"/>
        </w:rPr>
        <w:t>需要完全处于场地内</w:t>
      </w:r>
      <w:r>
        <w:rPr>
          <w:rStyle w:val="60"/>
          <w:rFonts w:hint="eastAsia"/>
        </w:rPr>
        <w:t>；</w:t>
      </w:r>
    </w:p>
    <w:p>
      <w:pPr>
        <w:pStyle w:val="30"/>
        <w:jc w:val="left"/>
        <w:rPr>
          <w:rStyle w:val="60"/>
        </w:rPr>
      </w:pPr>
      <w:r>
        <w:rPr>
          <w:rStyle w:val="60"/>
          <w:rFonts w:hint="eastAsia"/>
        </w:rPr>
        <w:t>c</w:t>
      </w:r>
      <w:r>
        <w:rPr>
          <w:rStyle w:val="60"/>
        </w:rPr>
        <w:t>.</w:t>
      </w:r>
      <w:r>
        <w:rPr>
          <w:rStyle w:val="60"/>
          <w:rFonts w:hint="eastAsia"/>
        </w:rPr>
        <w:t>红色或</w:t>
      </w:r>
      <w:r>
        <w:rPr>
          <w:rStyle w:val="60"/>
        </w:rPr>
        <w:t>蓝</w:t>
      </w:r>
      <w:r>
        <w:rPr>
          <w:rStyle w:val="60"/>
          <w:rFonts w:hint="eastAsia"/>
        </w:rPr>
        <w:t>色</w:t>
      </w:r>
      <w:r>
        <w:rPr>
          <w:rStyle w:val="60"/>
        </w:rPr>
        <w:t>字母方块不与机器人和</w:t>
      </w:r>
      <w:r>
        <w:rPr>
          <w:rStyle w:val="60"/>
          <w:rFonts w:hint="eastAsia"/>
        </w:rPr>
        <w:t>高制造台</w:t>
      </w:r>
      <w:r>
        <w:rPr>
          <w:rStyle w:val="60"/>
        </w:rPr>
        <w:t>直接接触；</w:t>
      </w:r>
    </w:p>
    <w:p>
      <w:pPr>
        <w:pStyle w:val="30"/>
        <w:jc w:val="left"/>
        <w:rPr>
          <w:rStyle w:val="60"/>
        </w:rPr>
      </w:pPr>
      <w:r>
        <w:rPr>
          <w:rStyle w:val="60"/>
          <w:rFonts w:hint="eastAsia"/>
        </w:rPr>
        <w:t>以上判定均满足，则对应的红色或</w:t>
      </w:r>
      <w:r>
        <w:rPr>
          <w:rStyle w:val="60"/>
        </w:rPr>
        <w:t>蓝</w:t>
      </w:r>
      <w:r>
        <w:rPr>
          <w:rStyle w:val="60"/>
          <w:rFonts w:hint="eastAsia"/>
        </w:rPr>
        <w:t>色</w:t>
      </w:r>
      <w:r>
        <w:rPr>
          <w:rStyle w:val="60"/>
        </w:rPr>
        <w:t>字母方块</w:t>
      </w:r>
      <w:r>
        <w:rPr>
          <w:rStyle w:val="60"/>
          <w:rFonts w:hint="eastAsia"/>
        </w:rPr>
        <w:t>得分。</w:t>
      </w:r>
    </w:p>
    <w:p>
      <w:pPr>
        <w:pStyle w:val="63"/>
      </w:pPr>
      <w:r>
        <w:rPr>
          <w:rFonts w:hint="eastAsia"/>
        </w:rPr>
        <w:t>M</w:t>
      </w:r>
      <w:r>
        <w:t xml:space="preserve">05 </w:t>
      </w:r>
      <w:r>
        <w:rPr>
          <w:rFonts w:hint="eastAsia"/>
        </w:rPr>
        <w:t>处理污染物</w:t>
      </w:r>
    </w:p>
    <w:p>
      <w:pPr>
        <w:pStyle w:val="30"/>
        <w:jc w:val="left"/>
      </w:pPr>
      <w:r>
        <w:rPr>
          <w:rFonts w:hint="eastAsia" w:ascii="思源黑体 CN Heavy" w:hAnsi="思源黑体 CN Heavy" w:eastAsia="思源黑体 CN Heavy"/>
          <w:b/>
          <w:color w:val="auto"/>
        </w:rPr>
        <w:t>任务类型：</w:t>
      </w:r>
      <w:r>
        <w:rPr>
          <w:rFonts w:hint="eastAsia"/>
        </w:rPr>
        <w:t>独立任务</w:t>
      </w:r>
    </w:p>
    <w:p>
      <w:pPr>
        <w:pStyle w:val="30"/>
        <w:jc w:val="left"/>
      </w:pPr>
      <w:r>
        <w:rPr>
          <w:rFonts w:hint="eastAsia" w:ascii="思源黑体 CN Heavy" w:hAnsi="思源黑体 CN Heavy" w:eastAsia="思源黑体 CN Heavy"/>
          <w:b/>
          <w:color w:val="auto"/>
        </w:rPr>
        <w:t>任务内容：</w:t>
      </w:r>
      <w:r>
        <w:rPr>
          <w:rFonts w:hint="eastAsia"/>
        </w:rPr>
        <w:t>机器人将本</w:t>
      </w:r>
      <w:r>
        <w:rPr>
          <w:rFonts w:hint="eastAsia"/>
          <w:color w:val="auto"/>
        </w:rPr>
        <w:t>方数据块（红色或蓝色字母方块）转</w:t>
      </w:r>
      <w:r>
        <w:rPr>
          <w:rFonts w:hint="eastAsia"/>
        </w:rPr>
        <w:t>移至密码填充区，嵌入数据块至资源转换器，使污染处理装置运转处理废物废水，将数据块（红色或蓝色</w:t>
      </w:r>
      <w:r>
        <w:t>蓝字母方块）置换出来并转运至手动区</w:t>
      </w:r>
      <w:r>
        <w:rPr>
          <w:rFonts w:hint="eastAsia"/>
        </w:rPr>
        <w:t>。</w:t>
      </w:r>
    </w:p>
    <w:p>
      <w:pPr>
        <w:pStyle w:val="30"/>
        <w:jc w:val="left"/>
      </w:pPr>
      <w:r>
        <w:rPr>
          <w:rFonts w:hint="eastAsia" w:ascii="思源黑体 CN Heavy" w:hAnsi="思源黑体 CN Heavy" w:eastAsia="思源黑体 CN Heavy"/>
          <w:b/>
          <w:color w:val="auto"/>
        </w:rPr>
        <w:t>初始状态：</w:t>
      </w:r>
      <w:r>
        <w:rPr>
          <w:rFonts w:hint="eastAsia"/>
        </w:rPr>
        <w:t>在自动任务区，红</w:t>
      </w:r>
      <w:r>
        <w:t>蓝双方各有一个密码填充区域，密码填充区域内有</w:t>
      </w:r>
      <w:r>
        <w:rPr>
          <w:rFonts w:hint="eastAsia"/>
        </w:rPr>
        <w:t>资源转换器</w:t>
      </w:r>
      <w:r>
        <w:t>，</w:t>
      </w:r>
      <w:r>
        <w:rPr>
          <w:rFonts w:hint="eastAsia"/>
        </w:rPr>
        <w:t>资源转换器内</w:t>
      </w:r>
      <w:r>
        <w:t>嵌有红</w:t>
      </w:r>
      <w:r>
        <w:rPr>
          <w:rFonts w:hint="eastAsia"/>
        </w:rPr>
        <w:t>色或</w:t>
      </w:r>
      <w:r>
        <w:t>蓝</w:t>
      </w:r>
      <w:r>
        <w:rPr>
          <w:rFonts w:hint="eastAsia"/>
        </w:rPr>
        <w:t>色</w:t>
      </w:r>
      <w:r>
        <w:t>字母方块</w:t>
      </w:r>
      <w:r>
        <w:rPr>
          <w:rFonts w:hint="eastAsia"/>
        </w:rPr>
        <w:t>，资源转化器黑色亚克力台一面抬起，资源转换器初始状态如下图所示。</w:t>
      </w:r>
      <w:r>
        <w:t>机器人需要将代表密码元素</w:t>
      </w:r>
      <w:r>
        <w:rPr>
          <w:rFonts w:hint="eastAsia"/>
        </w:rPr>
        <w:t>“</w:t>
      </w:r>
      <w:r>
        <w:t>M</w:t>
      </w:r>
      <w:r>
        <w:rPr>
          <w:rFonts w:hint="eastAsia"/>
        </w:rPr>
        <w:t>”</w:t>
      </w:r>
      <w:r>
        <w:t>或</w:t>
      </w:r>
      <w:r>
        <w:rPr>
          <w:rFonts w:hint="eastAsia"/>
        </w:rPr>
        <w:t>“</w:t>
      </w:r>
      <w:r>
        <w:t>X</w:t>
      </w:r>
      <w:r>
        <w:rPr>
          <w:rFonts w:hint="eastAsia"/>
        </w:rPr>
        <w:t>”</w:t>
      </w:r>
      <w:r>
        <w:t>的字母方块</w:t>
      </w:r>
      <w:r>
        <w:rPr>
          <w:rFonts w:hint="eastAsia"/>
        </w:rPr>
        <w:t>（来源于任务M</w:t>
      </w:r>
      <w:r>
        <w:t>04</w:t>
      </w:r>
      <w:r>
        <w:rPr>
          <w:rFonts w:hint="eastAsia"/>
        </w:rPr>
        <w:t>）</w:t>
      </w:r>
      <w:r>
        <w:t>移入密码填充区，完成输入密码任务；换取红/蓝字母方块并转运至手动区；</w:t>
      </w:r>
    </w:p>
    <w:p>
      <w:pPr>
        <w:pStyle w:val="30"/>
        <w:jc w:val="center"/>
      </w:pPr>
      <w:r>
        <w:drawing>
          <wp:anchor distT="0" distB="0" distL="114300" distR="114300" simplePos="0" relativeHeight="251686912" behindDoc="0" locked="0" layoutInCell="1" allowOverlap="1">
            <wp:simplePos x="0" y="0"/>
            <wp:positionH relativeFrom="margin">
              <wp:align>center</wp:align>
            </wp:positionH>
            <wp:positionV relativeFrom="paragraph">
              <wp:posOffset>1838960</wp:posOffset>
            </wp:positionV>
            <wp:extent cx="5201920" cy="1076325"/>
            <wp:effectExtent l="0" t="0" r="0" b="9525"/>
            <wp:wrapTopAndBottom/>
            <wp:docPr id="73" name="Drawing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Drawing 36"/>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0" y="0"/>
                      <a:ext cx="5201920" cy="1076325"/>
                    </a:xfrm>
                    <a:prstGeom prst="rect">
                      <a:avLst/>
                    </a:prstGeom>
                  </pic:spPr>
                </pic:pic>
              </a:graphicData>
            </a:graphic>
          </wp:anchor>
        </w:drawing>
      </w:r>
      <w:r>
        <w:drawing>
          <wp:anchor distT="0" distB="0" distL="114300" distR="114300" simplePos="0" relativeHeight="251706368" behindDoc="0" locked="0" layoutInCell="1" allowOverlap="1">
            <wp:simplePos x="0" y="0"/>
            <wp:positionH relativeFrom="column">
              <wp:posOffset>38735</wp:posOffset>
            </wp:positionH>
            <wp:positionV relativeFrom="paragraph">
              <wp:posOffset>0</wp:posOffset>
            </wp:positionV>
            <wp:extent cx="5278120" cy="1836420"/>
            <wp:effectExtent l="0" t="0" r="0" b="0"/>
            <wp:wrapTopAndBottom/>
            <wp:docPr id="2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4"/>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278120" cy="1836420"/>
                    </a:xfrm>
                    <a:prstGeom prst="rect">
                      <a:avLst/>
                    </a:prstGeom>
                  </pic:spPr>
                </pic:pic>
              </a:graphicData>
            </a:graphic>
          </wp:anchor>
        </w:drawing>
      </w:r>
      <w:r>
        <w:rPr>
          <w:rFonts w:hint="eastAsia"/>
          <w:bCs/>
          <w:color w:val="auto"/>
        </w:rPr>
        <w:t>图</w:t>
      </w:r>
      <w:r>
        <w:rPr>
          <w:rFonts w:hint="eastAsia"/>
          <w:bCs/>
          <w:color w:val="auto"/>
          <w:lang w:val="en-US" w:eastAsia="zh-CN"/>
        </w:rPr>
        <w:t>1</w:t>
      </w:r>
      <w:r>
        <w:rPr>
          <w:bCs/>
          <w:color w:val="auto"/>
        </w:rPr>
        <w:t xml:space="preserve">.4-8 </w:t>
      </w:r>
      <w:r>
        <w:rPr>
          <w:rFonts w:hint="eastAsia"/>
          <w:bCs/>
          <w:color w:val="auto"/>
        </w:rPr>
        <w:t>M</w:t>
      </w:r>
      <w:r>
        <w:rPr>
          <w:bCs/>
          <w:color w:val="auto"/>
        </w:rPr>
        <w:t>05</w:t>
      </w:r>
      <w:r>
        <w:rPr>
          <w:rFonts w:hint="eastAsia"/>
          <w:bCs/>
          <w:color w:val="auto"/>
        </w:rPr>
        <w:t>任务初始位置示意图</w:t>
      </w:r>
    </w:p>
    <w:p>
      <w:pPr>
        <w:pStyle w:val="30"/>
        <w:jc w:val="left"/>
      </w:pPr>
      <w:r>
        <w:rPr>
          <w:rFonts w:hint="eastAsia" w:ascii="思源黑体 CN Heavy" w:hAnsi="思源黑体 CN Heavy" w:eastAsia="思源黑体 CN Heavy"/>
          <w:b/>
          <w:color w:val="auto"/>
        </w:rPr>
        <w:t>任务得分：</w:t>
      </w:r>
      <w:r>
        <w:rPr>
          <w:rFonts w:hint="eastAsia"/>
        </w:rPr>
        <w:t>每一个密码填充区为一个得分区域，成功将代表密码元素的“</w:t>
      </w:r>
      <w:r>
        <w:t>M</w:t>
      </w:r>
      <w:r>
        <w:rPr>
          <w:rFonts w:hint="eastAsia"/>
        </w:rPr>
        <w:t>”</w:t>
      </w:r>
      <w:r>
        <w:t>或</w:t>
      </w:r>
      <w:r>
        <w:rPr>
          <w:rFonts w:hint="eastAsia"/>
        </w:rPr>
        <w:t>“</w:t>
      </w:r>
      <w:r>
        <w:t>X</w:t>
      </w:r>
      <w:r>
        <w:rPr>
          <w:rFonts w:hint="eastAsia"/>
        </w:rPr>
        <w:t>”</w:t>
      </w:r>
      <w:r>
        <w:t>的红/蓝字母方块填充入密码填充区域，计10分</w:t>
      </w:r>
      <w:r>
        <w:rPr>
          <w:rFonts w:hint="eastAsia"/>
        </w:rPr>
        <w:t>/个</w:t>
      </w:r>
      <w:r>
        <w:t>；成功将</w:t>
      </w:r>
      <w:r>
        <w:rPr>
          <w:rFonts w:hint="eastAsia"/>
        </w:rPr>
        <w:t>资源转换器中</w:t>
      </w:r>
      <w:r>
        <w:t>的</w:t>
      </w:r>
      <w:r>
        <w:rPr>
          <w:rFonts w:hint="eastAsia"/>
        </w:rPr>
        <w:t>红色或蓝色</w:t>
      </w:r>
      <w:r>
        <w:t>字母方块并转运至手动区方块，计30分/个；</w:t>
      </w:r>
    </w:p>
    <w:p>
      <w:pPr>
        <w:pStyle w:val="30"/>
        <w:jc w:val="left"/>
        <w:rPr>
          <w:rFonts w:ascii="思源黑体 CN Heavy" w:hAnsi="思源黑体 CN Heavy" w:eastAsia="思源黑体 CN Heavy"/>
          <w:b/>
          <w:color w:val="auto"/>
        </w:rPr>
      </w:pPr>
      <w:r>
        <w:rPr>
          <w:rFonts w:hint="eastAsia" w:ascii="思源黑体 CN Heavy" w:hAnsi="思源黑体 CN Heavy" w:eastAsia="思源黑体 CN Heavy"/>
          <w:b/>
          <w:color w:val="auto"/>
        </w:rPr>
        <w:t>得分判定：</w:t>
      </w:r>
    </w:p>
    <w:p>
      <w:pPr>
        <w:pStyle w:val="30"/>
        <w:jc w:val="left"/>
      </w:pPr>
      <w:r>
        <w:rPr>
          <w:rFonts w:ascii="思源黑体 CN Heavy" w:hAnsi="思源黑体 CN Heavy" w:eastAsia="思源黑体 CN Heavy"/>
          <w:b/>
          <w:color w:val="auto"/>
        </w:rPr>
        <w:t>1</w:t>
      </w:r>
      <w:r>
        <w:rPr>
          <w:rFonts w:hint="eastAsia" w:ascii="思源黑体 CN Heavy" w:hAnsi="思源黑体 CN Heavy" w:eastAsia="思源黑体 CN Heavy"/>
          <w:b/>
          <w:color w:val="auto"/>
        </w:rPr>
        <w:t>、</w:t>
      </w:r>
      <w:r>
        <w:rPr>
          <w:rFonts w:hint="eastAsia"/>
        </w:rPr>
        <w:t>自动控制阶段结束后的计分时刻：</w:t>
      </w:r>
    </w:p>
    <w:p>
      <w:pPr>
        <w:pStyle w:val="30"/>
        <w:jc w:val="left"/>
        <w:rPr>
          <w:color w:val="auto"/>
        </w:rPr>
      </w:pPr>
      <w:r>
        <w:rPr>
          <w:color w:val="auto"/>
        </w:rPr>
        <w:t>a.</w:t>
      </w:r>
      <w:r>
        <w:rPr>
          <w:rFonts w:hint="eastAsia"/>
          <w:color w:val="auto"/>
        </w:rPr>
        <w:t>红色或蓝色字母方块垂直投影部分进入密码填充区域，且与场地直接接触；</w:t>
      </w:r>
    </w:p>
    <w:p>
      <w:pPr>
        <w:pStyle w:val="30"/>
        <w:jc w:val="left"/>
        <w:rPr>
          <w:color w:val="auto"/>
        </w:rPr>
      </w:pPr>
      <w:r>
        <w:rPr>
          <w:color w:val="auto"/>
        </w:rPr>
        <w:t>b.</w:t>
      </w:r>
      <w:r>
        <w:rPr>
          <w:rFonts w:hint="eastAsia"/>
          <w:color w:val="auto"/>
        </w:rPr>
        <w:t>字母方块不与机器人直接接触；</w:t>
      </w:r>
    </w:p>
    <w:p>
      <w:pPr>
        <w:pStyle w:val="30"/>
        <w:jc w:val="left"/>
        <w:rPr>
          <w:color w:val="auto"/>
        </w:rPr>
      </w:pPr>
      <w:r>
        <w:rPr>
          <w:rFonts w:hint="eastAsia"/>
          <w:color w:val="auto"/>
        </w:rPr>
        <w:t>c</w:t>
      </w:r>
      <w:r>
        <w:rPr>
          <w:color w:val="auto"/>
        </w:rPr>
        <w:t>.</w:t>
      </w:r>
      <w:r>
        <w:rPr>
          <w:rFonts w:hint="eastAsia"/>
          <w:color w:val="auto"/>
        </w:rPr>
        <w:t>红色或蓝色字母方块“</w:t>
      </w:r>
      <w:r>
        <w:rPr>
          <w:color w:val="auto"/>
        </w:rPr>
        <w:t>X”和“M”朝</w:t>
      </w:r>
      <w:r>
        <w:rPr>
          <w:rFonts w:hint="eastAsia"/>
          <w:color w:val="auto"/>
        </w:rPr>
        <w:t>向，与M</w:t>
      </w:r>
      <w:r>
        <w:rPr>
          <w:color w:val="auto"/>
        </w:rPr>
        <w:t>04</w:t>
      </w:r>
      <w:r>
        <w:rPr>
          <w:rFonts w:hint="eastAsia"/>
          <w:color w:val="auto"/>
        </w:rPr>
        <w:t>任务的初始朝向相同；</w:t>
      </w:r>
    </w:p>
    <w:p>
      <w:pPr>
        <w:pStyle w:val="30"/>
        <w:jc w:val="left"/>
        <w:rPr>
          <w:color w:val="auto"/>
        </w:rPr>
      </w:pPr>
      <w:r>
        <w:rPr>
          <w:rFonts w:hint="eastAsia"/>
          <w:color w:val="auto"/>
        </w:rPr>
        <w:t>以上判定均满足，则对应的红色或蓝色字母方块得到密码填充的分数。</w:t>
      </w:r>
    </w:p>
    <w:p>
      <w:pPr>
        <w:pStyle w:val="30"/>
        <w:jc w:val="left"/>
      </w:pPr>
      <w:r>
        <w:rPr>
          <w:rFonts w:ascii="思源黑体 CN Heavy" w:hAnsi="思源黑体 CN Heavy" w:eastAsia="思源黑体 CN Heavy"/>
          <w:b/>
          <w:color w:val="auto"/>
        </w:rPr>
        <w:t>2</w:t>
      </w:r>
      <w:r>
        <w:rPr>
          <w:rFonts w:hint="eastAsia" w:ascii="思源黑体 CN Heavy" w:hAnsi="思源黑体 CN Heavy" w:eastAsia="思源黑体 CN Heavy"/>
          <w:b/>
          <w:color w:val="auto"/>
        </w:rPr>
        <w:t>、</w:t>
      </w:r>
      <w:r>
        <w:rPr>
          <w:rFonts w:hint="eastAsia"/>
          <w:color w:val="auto"/>
        </w:rPr>
        <w:t>自动控制阶段结束后的计分时刻，资源转换器中的红色或蓝色字母方块</w:t>
      </w:r>
      <w:r>
        <w:rPr>
          <w:rFonts w:hint="eastAsia"/>
        </w:rPr>
        <w:t>垂直投影完全位于手动任务区内。</w:t>
      </w:r>
    </w:p>
    <w:p>
      <w:pPr>
        <w:pStyle w:val="30"/>
        <w:jc w:val="left"/>
        <w:rPr>
          <w:rStyle w:val="60"/>
        </w:rPr>
      </w:pPr>
      <w:r>
        <w:rPr>
          <w:rFonts w:hint="eastAsia"/>
        </w:rPr>
        <w:t>满足以上判定，则对应的字母方块得分。</w:t>
      </w:r>
    </w:p>
    <w:p>
      <w:pPr>
        <w:pStyle w:val="63"/>
      </w:pPr>
      <w:r>
        <w:rPr>
          <w:rFonts w:hint="eastAsia"/>
        </w:rPr>
        <w:t>M</w:t>
      </w:r>
      <w:r>
        <w:t xml:space="preserve">06 </w:t>
      </w:r>
      <w:r>
        <w:rPr>
          <w:rFonts w:hint="eastAsia"/>
        </w:rPr>
        <w:t>堆放储物仓</w:t>
      </w:r>
    </w:p>
    <w:p>
      <w:pPr>
        <w:pStyle w:val="30"/>
        <w:rPr>
          <w:rStyle w:val="60"/>
          <w:color w:val="auto"/>
        </w:rPr>
      </w:pPr>
      <w:r>
        <w:rPr>
          <w:rFonts w:hint="eastAsia" w:ascii="思源黑体 CN Heavy" w:hAnsi="思源黑体 CN Heavy" w:eastAsia="思源黑体 CN Heavy"/>
          <w:b/>
        </w:rPr>
        <w:t>任务类型：</w:t>
      </w:r>
      <w:r>
        <w:rPr>
          <w:rStyle w:val="60"/>
          <w:rFonts w:hint="eastAsia"/>
          <w:color w:val="auto"/>
        </w:rPr>
        <w:t>独立任务</w:t>
      </w:r>
    </w:p>
    <w:p>
      <w:pPr>
        <w:pStyle w:val="30"/>
        <w:rPr>
          <w:rStyle w:val="60"/>
          <w:color w:val="auto"/>
        </w:rPr>
      </w:pPr>
      <w:r>
        <w:rPr>
          <w:rFonts w:hint="eastAsia" w:ascii="思源黑体 CN Heavy" w:hAnsi="思源黑体 CN Heavy" w:eastAsia="思源黑体 CN Heavy"/>
          <w:b/>
        </w:rPr>
        <w:t>任务内容：</w:t>
      </w:r>
      <w:r>
        <w:rPr>
          <w:rStyle w:val="60"/>
          <w:rFonts w:hint="eastAsia"/>
          <w:color w:val="auto"/>
        </w:rPr>
        <w:t>机器人通过识别，从混有有机晶体（黄色方块）的储物仓中，挑选出数据块（</w:t>
      </w:r>
      <w:r>
        <w:rPr>
          <w:rFonts w:hint="eastAsia"/>
        </w:rPr>
        <w:t>红色或蓝色字母</w:t>
      </w:r>
      <w:r>
        <w:rPr>
          <w:rStyle w:val="60"/>
          <w:color w:val="auto"/>
        </w:rPr>
        <w:t>方块）送至手动</w:t>
      </w:r>
      <w:r>
        <w:rPr>
          <w:rStyle w:val="60"/>
          <w:rFonts w:hint="eastAsia"/>
          <w:color w:val="auto"/>
        </w:rPr>
        <w:t>任务</w:t>
      </w:r>
      <w:r>
        <w:rPr>
          <w:rStyle w:val="60"/>
          <w:color w:val="auto"/>
        </w:rPr>
        <w:t>区，同时保留有机晶体（黄色方块）在</w:t>
      </w:r>
      <w:r>
        <w:rPr>
          <w:rStyle w:val="60"/>
          <w:rFonts w:hint="eastAsia"/>
          <w:color w:val="auto"/>
        </w:rPr>
        <w:t>储物仓。</w:t>
      </w:r>
    </w:p>
    <w:p>
      <w:pPr>
        <w:pStyle w:val="30"/>
        <w:rPr>
          <w:rStyle w:val="60"/>
          <w:color w:val="auto"/>
        </w:rPr>
      </w:pPr>
      <w:r>
        <w:drawing>
          <wp:anchor distT="0" distB="0" distL="114300" distR="114300" simplePos="0" relativeHeight="251698176" behindDoc="0" locked="0" layoutInCell="1" allowOverlap="1">
            <wp:simplePos x="0" y="0"/>
            <wp:positionH relativeFrom="margin">
              <wp:align>left</wp:align>
            </wp:positionH>
            <wp:positionV relativeFrom="paragraph">
              <wp:posOffset>556260</wp:posOffset>
            </wp:positionV>
            <wp:extent cx="5278120" cy="1092200"/>
            <wp:effectExtent l="0" t="0" r="0" b="0"/>
            <wp:wrapTopAndBottom/>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5278120" cy="1092200"/>
                    </a:xfrm>
                    <a:prstGeom prst="rect">
                      <a:avLst/>
                    </a:prstGeom>
                  </pic:spPr>
                </pic:pic>
              </a:graphicData>
            </a:graphic>
          </wp:anchor>
        </w:drawing>
      </w:r>
      <w:r>
        <w:rPr>
          <w:rFonts w:hint="eastAsia" w:ascii="思源黑体 CN Heavy" w:hAnsi="思源黑体 CN Heavy" w:eastAsia="思源黑体 CN Heavy"/>
          <w:b/>
        </w:rPr>
        <w:t>初始状态：</w:t>
      </w:r>
      <w:r>
        <w:rPr>
          <w:rStyle w:val="60"/>
          <w:rFonts w:hint="eastAsia"/>
          <w:color w:val="auto"/>
        </w:rPr>
        <w:t>在储物仓中摆有两个己方颜色字母方块和一个黄色方块；黄色方块位置将通过随机抽签方式确定</w:t>
      </w:r>
      <w:r>
        <w:rPr>
          <w:rStyle w:val="60"/>
          <w:color w:val="auto"/>
        </w:rPr>
        <w:t>。</w:t>
      </w:r>
    </w:p>
    <w:p>
      <w:pPr>
        <w:pStyle w:val="30"/>
        <w:ind w:firstLine="0"/>
        <w:jc w:val="center"/>
        <w:rPr>
          <w:color w:val="auto"/>
        </w:rPr>
      </w:pPr>
      <w:r>
        <w:rPr>
          <w:rFonts w:hint="eastAsia"/>
          <w:bCs/>
          <w:color w:val="auto"/>
        </w:rPr>
        <w:t>图</w:t>
      </w:r>
      <w:r>
        <w:rPr>
          <w:rFonts w:hint="eastAsia"/>
          <w:bCs/>
          <w:color w:val="auto"/>
          <w:lang w:val="en-US" w:eastAsia="zh-CN"/>
        </w:rPr>
        <w:t>1</w:t>
      </w:r>
      <w:r>
        <w:rPr>
          <w:bCs/>
          <w:color w:val="auto"/>
        </w:rPr>
        <w:t>.</w:t>
      </w:r>
      <w:r>
        <w:rPr>
          <w:rFonts w:hint="eastAsia"/>
          <w:bCs/>
          <w:color w:val="auto"/>
        </w:rPr>
        <w:t>4</w:t>
      </w:r>
      <w:r>
        <w:rPr>
          <w:bCs/>
          <w:color w:val="auto"/>
        </w:rPr>
        <w:t xml:space="preserve">-9 </w:t>
      </w:r>
      <w:r>
        <w:rPr>
          <w:rFonts w:hint="eastAsia"/>
          <w:bCs/>
          <w:color w:val="auto"/>
        </w:rPr>
        <w:t>M</w:t>
      </w:r>
      <w:r>
        <w:rPr>
          <w:bCs/>
          <w:color w:val="auto"/>
        </w:rPr>
        <w:t>06</w:t>
      </w:r>
      <w:r>
        <w:rPr>
          <w:rFonts w:hint="eastAsia"/>
          <w:bCs/>
          <w:color w:val="auto"/>
        </w:rPr>
        <w:t>初始任务位置示意图</w:t>
      </w:r>
    </w:p>
    <w:p>
      <w:pPr>
        <w:pStyle w:val="30"/>
      </w:pPr>
      <w:r>
        <w:rPr>
          <w:rFonts w:hint="eastAsia" w:ascii="思源黑体 CN Heavy" w:hAnsi="思源黑体 CN Heavy" w:eastAsia="思源黑体 CN Heavy"/>
          <w:b/>
        </w:rPr>
        <w:t>任务得分：</w:t>
      </w:r>
      <w:r>
        <w:rPr>
          <w:rFonts w:hint="eastAsia"/>
        </w:rPr>
        <w:t>每挑选出一个正确方块，计</w:t>
      </w:r>
      <w:r>
        <w:t>30分；黄色方块在</w:t>
      </w:r>
      <w:r>
        <w:rPr>
          <w:rFonts w:hint="eastAsia"/>
        </w:rPr>
        <w:t>初始</w:t>
      </w:r>
      <w:r>
        <w:t>位置，计10分；</w:t>
      </w:r>
    </w:p>
    <w:p>
      <w:pPr>
        <w:pStyle w:val="30"/>
      </w:pPr>
      <w:r>
        <w:rPr>
          <w:rFonts w:hint="eastAsia" w:ascii="思源黑体 CN Heavy" w:hAnsi="思源黑体 CN Heavy" w:eastAsia="思源黑体 CN Heavy"/>
          <w:b/>
        </w:rPr>
        <w:t>得分判定：</w:t>
      </w:r>
      <w:r>
        <w:rPr>
          <w:rFonts w:hint="eastAsia"/>
        </w:rPr>
        <w:t>自动控制阶段结束后的计分时刻：</w:t>
      </w:r>
    </w:p>
    <w:p>
      <w:pPr>
        <w:pStyle w:val="30"/>
      </w:pPr>
      <w:r>
        <w:t>a.</w:t>
      </w:r>
      <w:r>
        <w:rPr>
          <w:rFonts w:hint="eastAsia"/>
        </w:rPr>
        <w:t>红色或蓝色</w:t>
      </w:r>
      <w:r>
        <w:t>字母方块</w:t>
      </w:r>
      <w:r>
        <w:rPr>
          <w:rFonts w:hint="eastAsia"/>
        </w:rPr>
        <w:t>的</w:t>
      </w:r>
      <w:r>
        <w:t>垂直投影完全处于手动区域内</w:t>
      </w:r>
      <w:r>
        <w:rPr>
          <w:rFonts w:hint="eastAsia"/>
        </w:rPr>
        <w:t>；</w:t>
      </w:r>
    </w:p>
    <w:p>
      <w:pPr>
        <w:pStyle w:val="30"/>
      </w:pPr>
      <w:r>
        <w:rPr>
          <w:rFonts w:hint="eastAsia"/>
        </w:rPr>
        <w:t>b</w:t>
      </w:r>
      <w:r>
        <w:t>.</w:t>
      </w:r>
      <w:r>
        <w:rPr>
          <w:rFonts w:hint="eastAsia"/>
        </w:rPr>
        <w:t>黄色方块的垂直投影完全位于储物仓内</w:t>
      </w:r>
      <w:r>
        <w:t>；</w:t>
      </w:r>
    </w:p>
    <w:p>
      <w:pPr>
        <w:pStyle w:val="30"/>
      </w:pPr>
      <w:r>
        <w:rPr>
          <w:rFonts w:hint="eastAsia"/>
        </w:rPr>
        <w:t>以上判定均满足，则对应的方块得分。</w:t>
      </w:r>
    </w:p>
    <w:p>
      <w:pPr>
        <w:pStyle w:val="63"/>
      </w:pPr>
      <w:r>
        <w:rPr>
          <w:rFonts w:hint="eastAsia"/>
        </w:rPr>
        <w:t>M</w:t>
      </w:r>
      <w:r>
        <w:t xml:space="preserve">07 </w:t>
      </w:r>
      <w:r>
        <w:rPr>
          <w:rFonts w:hint="eastAsia"/>
        </w:rPr>
        <w:t>点燃反物质燃料棒</w:t>
      </w:r>
    </w:p>
    <w:p>
      <w:pPr>
        <w:pStyle w:val="63"/>
        <w:rPr>
          <w:b w:val="0"/>
          <w:bCs/>
          <w:color w:val="auto"/>
        </w:rPr>
      </w:pPr>
      <w:r>
        <w:rPr>
          <w:rStyle w:val="60"/>
          <w:b w:val="0"/>
          <w:bCs/>
          <w:color w:val="auto"/>
        </w:rPr>
        <w:tab/>
      </w:r>
      <w:r>
        <w:rPr>
          <w:rStyle w:val="60"/>
          <w:rFonts w:hint="eastAsia"/>
          <w:b w:val="0"/>
          <w:bCs/>
          <w:color w:val="auto"/>
        </w:rPr>
        <w:t>任务类型：</w:t>
      </w:r>
      <w:r>
        <w:rPr>
          <w:rFonts w:hint="eastAsia" w:ascii="思源黑体 CN Regular" w:hAnsi="思源黑体 CN Regular" w:eastAsia="思源黑体 CN Regular"/>
          <w:b w:val="0"/>
          <w:bCs/>
          <w:color w:val="000000" w:themeColor="text1"/>
          <w14:textFill>
            <w14:solidFill>
              <w14:schemeClr w14:val="tx1"/>
            </w14:solidFill>
          </w14:textFill>
        </w:rPr>
        <w:t>联盟任务</w:t>
      </w:r>
    </w:p>
    <w:p>
      <w:pPr>
        <w:pStyle w:val="63"/>
        <w:rPr>
          <w:rStyle w:val="60"/>
          <w:b w:val="0"/>
          <w:bCs/>
          <w:color w:val="auto"/>
        </w:rPr>
      </w:pPr>
      <w:r>
        <w:rPr>
          <w:rStyle w:val="60"/>
          <w:b w:val="0"/>
          <w:bCs/>
          <w:color w:val="auto"/>
        </w:rPr>
        <w:tab/>
      </w:r>
      <w:r>
        <w:rPr>
          <w:rStyle w:val="60"/>
          <w:rFonts w:hint="eastAsia"/>
          <w:b w:val="0"/>
          <w:bCs/>
          <w:color w:val="auto"/>
        </w:rPr>
        <w:t>任务内容：</w:t>
      </w:r>
      <w:r>
        <w:rPr>
          <w:rFonts w:hint="eastAsia" w:ascii="思源黑体 CN Regular" w:hAnsi="思源黑体 CN Regular" w:eastAsia="思源黑体 CN Regular"/>
          <w:b w:val="0"/>
          <w:bCs/>
          <w:color w:val="000000" w:themeColor="text1"/>
          <w14:textFill>
            <w14:solidFill>
              <w14:schemeClr w14:val="tx1"/>
            </w14:solidFill>
          </w14:textFill>
        </w:rPr>
        <w:t>反物质燃料棒具有高效、智能、持久的优点，工厂的持续智能运转需要燃料棒助力，机器人自动拨动工厂的反物质燃料棒，使工厂设施有序运转起来。</w:t>
      </w:r>
    </w:p>
    <w:p>
      <w:pPr>
        <w:pStyle w:val="63"/>
        <w:rPr>
          <w:rFonts w:ascii="思源黑体 CN Regular" w:hAnsi="思源黑体 CN Regular" w:eastAsia="思源黑体 CN Regular"/>
          <w:b w:val="0"/>
          <w:bCs/>
          <w:color w:val="000000" w:themeColor="text1"/>
          <w14:textFill>
            <w14:solidFill>
              <w14:schemeClr w14:val="tx1"/>
            </w14:solidFill>
          </w14:textFill>
        </w:rPr>
      </w:pPr>
      <w:r>
        <w:drawing>
          <wp:anchor distT="0" distB="0" distL="114300" distR="114300" simplePos="0" relativeHeight="251687936" behindDoc="0" locked="0" layoutInCell="1" allowOverlap="1">
            <wp:simplePos x="0" y="0"/>
            <wp:positionH relativeFrom="margin">
              <wp:align>right</wp:align>
            </wp:positionH>
            <wp:positionV relativeFrom="paragraph">
              <wp:posOffset>1066800</wp:posOffset>
            </wp:positionV>
            <wp:extent cx="5257800" cy="1083310"/>
            <wp:effectExtent l="0" t="0" r="0" b="2540"/>
            <wp:wrapTopAndBottom/>
            <wp:docPr id="42" name="Drawing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Drawing 41"/>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5257800" cy="1083574"/>
                    </a:xfrm>
                    <a:prstGeom prst="rect">
                      <a:avLst/>
                    </a:prstGeom>
                  </pic:spPr>
                </pic:pic>
              </a:graphicData>
            </a:graphic>
          </wp:anchor>
        </w:drawing>
      </w:r>
      <w:r>
        <w:rPr>
          <w:rStyle w:val="60"/>
          <w:b w:val="0"/>
          <w:bCs/>
          <w:color w:val="auto"/>
        </w:rPr>
        <w:tab/>
      </w:r>
      <w:r>
        <w:rPr>
          <w:rStyle w:val="60"/>
          <w:rFonts w:hint="eastAsia"/>
          <w:b w:val="0"/>
          <w:bCs/>
          <w:color w:val="auto"/>
        </w:rPr>
        <w:t>初始状态：</w:t>
      </w:r>
      <w:r>
        <w:rPr>
          <w:rFonts w:hint="eastAsia" w:ascii="思源黑体 CN Regular" w:hAnsi="思源黑体 CN Regular" w:eastAsia="思源黑体 CN Regular"/>
          <w:b w:val="0"/>
          <w:bCs/>
          <w:color w:val="000000" w:themeColor="text1"/>
          <w14:textFill>
            <w14:solidFill>
              <w14:schemeClr w14:val="tx1"/>
            </w14:solidFill>
          </w14:textFill>
        </w:rPr>
        <w:t>在自动任务区域中央横向放置</w:t>
      </w:r>
      <w:r>
        <w:rPr>
          <w:rFonts w:ascii="思源黑体 CN Regular" w:hAnsi="思源黑体 CN Regular" w:eastAsia="思源黑体 CN Regular"/>
          <w:b w:val="0"/>
          <w:bCs/>
          <w:color w:val="000000" w:themeColor="text1"/>
          <w14:textFill>
            <w14:solidFill>
              <w14:schemeClr w14:val="tx1"/>
            </w14:solidFill>
          </w14:textFill>
        </w:rPr>
        <w:t>3个解码转筒装置，每个转筒有5个面每个面都有特定的色标</w:t>
      </w:r>
      <w:r>
        <w:rPr>
          <w:rFonts w:hint="eastAsia" w:ascii="思源黑体 CN Regular" w:hAnsi="思源黑体 CN Regular" w:eastAsia="思源黑体 CN Regular"/>
          <w:b w:val="0"/>
          <w:bCs/>
          <w:color w:val="000000" w:themeColor="text1"/>
          <w14:textFill>
            <w14:solidFill>
              <w14:schemeClr w14:val="tx1"/>
            </w14:solidFill>
          </w14:textFill>
        </w:rPr>
        <w:t>及</w:t>
      </w:r>
      <w:r>
        <w:rPr>
          <w:rFonts w:ascii="思源黑体 CN Regular" w:hAnsi="思源黑体 CN Regular" w:eastAsia="思源黑体 CN Regular"/>
          <w:b w:val="0"/>
          <w:bCs/>
          <w:color w:val="000000" w:themeColor="text1"/>
          <w14:textFill>
            <w14:solidFill>
              <w14:schemeClr w14:val="tx1"/>
            </w14:solidFill>
          </w14:textFill>
        </w:rPr>
        <w:t>字母，其初始的顺序由赛前抽签道具卡决定</w:t>
      </w:r>
      <w:r>
        <w:rPr>
          <w:rFonts w:hint="eastAsia" w:ascii="思源黑体 CN Regular" w:hAnsi="思源黑体 CN Regular" w:eastAsia="思源黑体 CN Regular"/>
          <w:b w:val="0"/>
          <w:bCs/>
          <w:color w:val="000000" w:themeColor="text1"/>
          <w14:textFill>
            <w14:solidFill>
              <w14:schemeClr w14:val="tx1"/>
            </w14:solidFill>
          </w14:textFill>
        </w:rPr>
        <w:t>，其中一种摆放方式如下图</w:t>
      </w:r>
      <w:r>
        <w:rPr>
          <w:rFonts w:ascii="思源黑体 CN Regular" w:hAnsi="思源黑体 CN Regular" w:eastAsia="思源黑体 CN Regular"/>
          <w:b w:val="0"/>
          <w:bCs/>
          <w:color w:val="000000" w:themeColor="text1"/>
          <w14:textFill>
            <w14:solidFill>
              <w14:schemeClr w14:val="tx1"/>
            </w14:solidFill>
          </w14:textFill>
        </w:rPr>
        <w:t>；</w:t>
      </w:r>
      <w:r>
        <w:rPr>
          <w:rFonts w:hint="eastAsia" w:ascii="思源黑体 CN Regular" w:hAnsi="思源黑体 CN Regular" w:eastAsia="思源黑体 CN Regular"/>
          <w:b w:val="0"/>
          <w:bCs/>
          <w:color w:val="000000" w:themeColor="text1"/>
          <w14:textFill>
            <w14:solidFill>
              <w14:schemeClr w14:val="tx1"/>
            </w14:solidFill>
          </w14:textFill>
        </w:rPr>
        <w:t xml:space="preserve"> 解码转筒装置需与图中“T”字路口的“</w:t>
      </w:r>
      <w:r>
        <w:rPr>
          <w:rFonts w:ascii="思源黑体 CN Regular" w:hAnsi="思源黑体 CN Regular" w:eastAsia="思源黑体 CN Regular"/>
          <w:color w:val="000000" w:themeColor="text1"/>
          <w14:textFill>
            <w14:solidFill>
              <w14:schemeClr w14:val="tx1"/>
            </w14:solidFill>
          </w14:textFill>
        </w:rPr>
        <w:t>|</w:t>
      </w:r>
      <w:r>
        <w:rPr>
          <w:rFonts w:hint="eastAsia" w:ascii="思源黑体 CN Regular" w:hAnsi="思源黑体 CN Regular" w:eastAsia="思源黑体 CN Regular"/>
          <w:b w:val="0"/>
          <w:bCs/>
          <w:color w:val="000000" w:themeColor="text1"/>
          <w14:textFill>
            <w14:solidFill>
              <w14:schemeClr w14:val="tx1"/>
            </w14:solidFill>
          </w14:textFill>
        </w:rPr>
        <w:t>”保持在同一直线上。</w:t>
      </w:r>
    </w:p>
    <w:p>
      <w:pPr>
        <w:pStyle w:val="30"/>
        <w:ind w:firstLine="0"/>
        <w:jc w:val="center"/>
        <w:rPr>
          <w:b/>
          <w:color w:val="auto"/>
        </w:rPr>
      </w:pPr>
      <w:r>
        <w:rPr>
          <w:rFonts w:hint="eastAsia"/>
          <w:bCs/>
          <w:color w:val="auto"/>
        </w:rPr>
        <w:t>图</w:t>
      </w:r>
      <w:r>
        <w:rPr>
          <w:rFonts w:hint="eastAsia"/>
          <w:bCs/>
          <w:color w:val="auto"/>
          <w:lang w:val="en-US" w:eastAsia="zh-CN"/>
        </w:rPr>
        <w:t>1</w:t>
      </w:r>
      <w:r>
        <w:rPr>
          <w:bCs/>
          <w:color w:val="auto"/>
        </w:rPr>
        <w:t>.</w:t>
      </w:r>
      <w:r>
        <w:rPr>
          <w:rFonts w:hint="eastAsia"/>
          <w:bCs/>
          <w:color w:val="auto"/>
        </w:rPr>
        <w:t>4</w:t>
      </w:r>
      <w:r>
        <w:rPr>
          <w:bCs/>
          <w:color w:val="auto"/>
        </w:rPr>
        <w:t xml:space="preserve">-10 </w:t>
      </w:r>
      <w:r>
        <w:rPr>
          <w:rFonts w:hint="eastAsia"/>
          <w:bCs/>
          <w:color w:val="auto"/>
        </w:rPr>
        <w:t>M</w:t>
      </w:r>
      <w:r>
        <w:rPr>
          <w:bCs/>
          <w:color w:val="auto"/>
        </w:rPr>
        <w:t>07</w:t>
      </w:r>
      <w:r>
        <w:rPr>
          <w:rFonts w:hint="eastAsia"/>
          <w:bCs/>
          <w:color w:val="auto"/>
        </w:rPr>
        <w:t>初始任务位置示意图</w:t>
      </w:r>
    </w:p>
    <w:p>
      <w:pPr>
        <w:pStyle w:val="63"/>
        <w:rPr>
          <w:rFonts w:ascii="思源黑体 CN Regular" w:hAnsi="思源黑体 CN Regular" w:eastAsia="思源黑体 CN Regular"/>
          <w:b w:val="0"/>
          <w:bCs/>
          <w:color w:val="auto"/>
        </w:rPr>
      </w:pPr>
      <w:r>
        <w:rPr>
          <w:rStyle w:val="60"/>
          <w:b w:val="0"/>
          <w:bCs/>
          <w:color w:val="auto"/>
        </w:rPr>
        <w:tab/>
      </w:r>
      <w:r>
        <w:rPr>
          <w:rStyle w:val="60"/>
          <w:rFonts w:hint="eastAsia"/>
          <w:b w:val="0"/>
          <w:bCs/>
          <w:color w:val="auto"/>
        </w:rPr>
        <w:t>任务得分：</w:t>
      </w:r>
      <w:r>
        <w:rPr>
          <w:rFonts w:hint="eastAsia" w:ascii="思源黑体 CN Regular" w:hAnsi="思源黑体 CN Regular" w:eastAsia="思源黑体 CN Regular"/>
          <w:color w:val="auto"/>
        </w:rPr>
        <w:t>每个按照正确顺序排列的</w:t>
      </w:r>
      <w:r>
        <w:rPr>
          <w:rFonts w:hint="eastAsia" w:ascii="思源黑体 CN Regular" w:hAnsi="思源黑体 CN Regular" w:eastAsia="思源黑体 CN Regular"/>
          <w:b w:val="0"/>
          <w:bCs/>
          <w:color w:val="auto"/>
        </w:rPr>
        <w:t>解码转筒，计</w:t>
      </w:r>
      <w:r>
        <w:rPr>
          <w:rFonts w:ascii="思源黑体 CN Regular" w:hAnsi="思源黑体 CN Regular" w:eastAsia="思源黑体 CN Regular"/>
          <w:b w:val="0"/>
          <w:bCs/>
          <w:color w:val="auto"/>
        </w:rPr>
        <w:t>30分</w:t>
      </w:r>
      <w:r>
        <w:rPr>
          <w:rFonts w:hint="eastAsia" w:ascii="思源黑体 CN Regular" w:hAnsi="思源黑体 CN Regular" w:eastAsia="思源黑体 CN Regular"/>
          <w:b w:val="0"/>
          <w:bCs/>
          <w:color w:val="auto"/>
        </w:rPr>
        <w:t>。</w:t>
      </w:r>
    </w:p>
    <w:p>
      <w:pPr>
        <w:pStyle w:val="30"/>
        <w:ind w:firstLine="0"/>
        <w:rPr>
          <w:color w:val="auto"/>
        </w:rPr>
      </w:pPr>
      <w:r>
        <w:rPr>
          <w:rStyle w:val="60"/>
          <w:rFonts w:ascii="思源黑体 CN Heavy" w:hAnsi="思源黑体 CN Heavy" w:eastAsia="思源黑体 CN Heavy"/>
          <w:bCs/>
          <w:color w:val="auto"/>
        </w:rPr>
        <w:tab/>
      </w:r>
      <w:r>
        <w:rPr>
          <w:rStyle w:val="60"/>
          <w:rFonts w:hint="eastAsia" w:ascii="思源黑体 CN Heavy" w:hAnsi="思源黑体 CN Heavy" w:eastAsia="思源黑体 CN Heavy"/>
          <w:bCs/>
          <w:color w:val="auto"/>
        </w:rPr>
        <w:t>得分判定：</w:t>
      </w:r>
      <w:r>
        <w:rPr>
          <w:rFonts w:hint="eastAsia"/>
          <w:color w:val="auto"/>
        </w:rPr>
        <w:t>自动控制阶段结束后的计分时刻：</w:t>
      </w:r>
    </w:p>
    <w:p>
      <w:pPr>
        <w:pStyle w:val="30"/>
        <w:rPr>
          <w:color w:val="auto"/>
        </w:rPr>
      </w:pPr>
      <w:r>
        <w:rPr>
          <w:color w:val="auto"/>
        </w:rPr>
        <w:t>a.</w:t>
      </w:r>
      <w:r>
        <w:rPr>
          <w:rFonts w:hint="eastAsia"/>
          <w:color w:val="auto"/>
        </w:rPr>
        <w:t>解码筒的顺序需与M</w:t>
      </w:r>
      <w:r>
        <w:rPr>
          <w:color w:val="auto"/>
        </w:rPr>
        <w:t>05</w:t>
      </w:r>
      <w:r>
        <w:rPr>
          <w:rFonts w:hint="eastAsia"/>
          <w:color w:val="auto"/>
        </w:rPr>
        <w:t>的“X”“M”方块构成正序“MAKEX”或倒序的“XEKAM”；</w:t>
      </w:r>
    </w:p>
    <w:p>
      <w:pPr>
        <w:pStyle w:val="30"/>
      </w:pPr>
      <w:r>
        <w:rPr>
          <w:rFonts w:hint="eastAsia"/>
        </w:rPr>
        <w:t>b</w:t>
      </w:r>
      <w:r>
        <w:t>.</w:t>
      </w:r>
      <w:r>
        <w:rPr>
          <w:rFonts w:hint="eastAsia"/>
        </w:rPr>
        <w:t>机器人与解码转筒装置不直接接触；</w:t>
      </w:r>
    </w:p>
    <w:p>
      <w:pPr>
        <w:pStyle w:val="30"/>
      </w:pPr>
      <w:r>
        <w:rPr>
          <w:rFonts w:hint="eastAsia"/>
        </w:rPr>
        <w:t>c</w:t>
      </w:r>
      <w:r>
        <w:t>.</w:t>
      </w:r>
      <w:r>
        <w:rPr>
          <w:rFonts w:hint="eastAsia"/>
        </w:rPr>
        <w:t>解码转筒装置符合特定顺序关键信息面绝对朝上；</w:t>
      </w:r>
    </w:p>
    <w:p>
      <w:pPr>
        <w:pStyle w:val="30"/>
      </w:pPr>
      <w:r>
        <w:rPr>
          <w:rFonts w:hint="eastAsia"/>
        </w:rPr>
        <w:t>以上判定均满足，则该任务得分。</w:t>
      </w:r>
    </w:p>
    <w:p>
      <w:pPr>
        <w:pStyle w:val="30"/>
        <w:rPr>
          <w:color w:val="auto"/>
        </w:rPr>
      </w:pPr>
      <w:r>
        <w:rPr>
          <w:rFonts w:hint="eastAsia"/>
        </w:rPr>
        <w:t>注意</w:t>
      </w:r>
      <w:r>
        <w:rPr>
          <w:rFonts w:hint="eastAsia"/>
          <w:color w:val="auto"/>
        </w:rPr>
        <w:t>：如M</w:t>
      </w:r>
      <w:r>
        <w:rPr>
          <w:color w:val="auto"/>
        </w:rPr>
        <w:t>05</w:t>
      </w:r>
      <w:r>
        <w:rPr>
          <w:rFonts w:hint="eastAsia"/>
          <w:color w:val="auto"/>
        </w:rPr>
        <w:t>任务中密码填充区的“M”、“X”方块均未得分，则任务M</w:t>
      </w:r>
      <w:r>
        <w:rPr>
          <w:color w:val="auto"/>
        </w:rPr>
        <w:t>07</w:t>
      </w:r>
      <w:r>
        <w:rPr>
          <w:rFonts w:hint="eastAsia"/>
          <w:color w:val="auto"/>
        </w:rPr>
        <w:t>任务的转筒无论处于何种顺序排列，均不得分；若M</w:t>
      </w:r>
      <w:r>
        <w:rPr>
          <w:color w:val="auto"/>
        </w:rPr>
        <w:t>05</w:t>
      </w:r>
      <w:r>
        <w:rPr>
          <w:rFonts w:hint="eastAsia"/>
          <w:color w:val="auto"/>
        </w:rPr>
        <w:t>任务中，密码填充区仅有一方得分，则任务M</w:t>
      </w:r>
      <w:r>
        <w:rPr>
          <w:color w:val="auto"/>
        </w:rPr>
        <w:t>07</w:t>
      </w:r>
      <w:r>
        <w:rPr>
          <w:rFonts w:hint="eastAsia"/>
          <w:color w:val="auto"/>
        </w:rPr>
        <w:t>任务的转筒顺序应以M</w:t>
      </w:r>
      <w:r>
        <w:rPr>
          <w:color w:val="auto"/>
        </w:rPr>
        <w:t>05</w:t>
      </w:r>
      <w:r>
        <w:rPr>
          <w:rFonts w:hint="eastAsia"/>
          <w:color w:val="auto"/>
        </w:rPr>
        <w:t>任务得分方为起点，构成正序或倒序“MakeX”。</w:t>
      </w:r>
    </w:p>
    <w:p>
      <w:pPr>
        <w:pStyle w:val="30"/>
        <w:jc w:val="center"/>
        <w:rPr>
          <w:color w:val="FF0000"/>
        </w:rPr>
      </w:pPr>
      <w:r>
        <w:drawing>
          <wp:anchor distT="0" distB="0" distL="114300" distR="114300" simplePos="0" relativeHeight="251699200" behindDoc="0" locked="0" layoutInCell="1" allowOverlap="1">
            <wp:simplePos x="0" y="0"/>
            <wp:positionH relativeFrom="margin">
              <wp:posOffset>554990</wp:posOffset>
            </wp:positionH>
            <wp:positionV relativeFrom="paragraph">
              <wp:posOffset>0</wp:posOffset>
            </wp:positionV>
            <wp:extent cx="4001770" cy="1493520"/>
            <wp:effectExtent l="0" t="0" r="0" b="0"/>
            <wp:wrapTopAndBottom/>
            <wp:docPr id="1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0" y="0"/>
                      <a:ext cx="4001770" cy="1493520"/>
                    </a:xfrm>
                    <a:prstGeom prst="rect">
                      <a:avLst/>
                    </a:prstGeom>
                  </pic:spPr>
                </pic:pic>
              </a:graphicData>
            </a:graphic>
          </wp:anchor>
        </w:drawing>
      </w:r>
      <w:bookmarkStart w:id="10" w:name="_Hlk155446615"/>
      <w:r>
        <w:rPr>
          <w:rFonts w:hint="eastAsia"/>
          <w:bCs/>
          <w:color w:val="auto"/>
        </w:rPr>
        <w:t>图</w:t>
      </w:r>
      <w:r>
        <w:rPr>
          <w:rFonts w:hint="eastAsia"/>
          <w:bCs/>
          <w:color w:val="auto"/>
          <w:lang w:val="en-US" w:eastAsia="zh-CN"/>
        </w:rPr>
        <w:t>1</w:t>
      </w:r>
      <w:r>
        <w:rPr>
          <w:bCs/>
          <w:color w:val="auto"/>
        </w:rPr>
        <w:t xml:space="preserve">.4-11 </w:t>
      </w:r>
      <w:r>
        <w:rPr>
          <w:rFonts w:hint="eastAsia"/>
          <w:bCs/>
          <w:color w:val="auto"/>
        </w:rPr>
        <w:t>M</w:t>
      </w:r>
      <w:r>
        <w:rPr>
          <w:bCs/>
          <w:color w:val="auto"/>
        </w:rPr>
        <w:t>07</w:t>
      </w:r>
      <w:r>
        <w:rPr>
          <w:rFonts w:hint="eastAsia"/>
          <w:bCs/>
          <w:color w:val="auto"/>
        </w:rPr>
        <w:t>任务得分示意图</w:t>
      </w:r>
    </w:p>
    <w:bookmarkEnd w:id="10"/>
    <w:p>
      <w:pPr>
        <w:pStyle w:val="63"/>
      </w:pPr>
      <w:r>
        <w:rPr>
          <w:rFonts w:hint="eastAsia"/>
        </w:rPr>
        <w:t>M</w:t>
      </w:r>
      <w:r>
        <w:t xml:space="preserve">08 </w:t>
      </w:r>
      <w:r>
        <w:rPr>
          <w:rFonts w:hint="eastAsia"/>
        </w:rPr>
        <w:t>运转矩阵研究站</w:t>
      </w:r>
    </w:p>
    <w:p>
      <w:pPr>
        <w:pStyle w:val="30"/>
        <w:rPr>
          <w:color w:val="auto"/>
        </w:rPr>
      </w:pPr>
      <w:r>
        <w:rPr>
          <w:rFonts w:hint="eastAsia" w:ascii="思源黑体 CN Heavy" w:hAnsi="思源黑体 CN Heavy" w:eastAsia="思源黑体 CN Heavy"/>
          <w:b/>
        </w:rPr>
        <w:t>任务类型：</w:t>
      </w:r>
      <w:r>
        <w:rPr>
          <w:rFonts w:hint="eastAsia"/>
          <w:color w:val="auto"/>
        </w:rPr>
        <w:t>联盟任务</w:t>
      </w:r>
    </w:p>
    <w:p>
      <w:pPr>
        <w:pStyle w:val="30"/>
        <w:rPr>
          <w:color w:val="auto"/>
        </w:rPr>
      </w:pPr>
      <w:r>
        <w:rPr>
          <w:rFonts w:hint="eastAsia" w:ascii="思源黑体 CN Heavy" w:hAnsi="思源黑体 CN Heavy" w:eastAsia="思源黑体 CN Heavy"/>
          <w:b/>
        </w:rPr>
        <w:t>任务内容：</w:t>
      </w:r>
      <w:r>
        <w:rPr>
          <w:rFonts w:hint="eastAsia"/>
          <w:color w:val="auto"/>
        </w:rPr>
        <w:t>工业互联网设备是为了实现工厂数字化管理而设计的，机器人将量子芯片和数据块同时嵌入矩阵研究站中，采集各种工厂数据，如温度、湿度、压力、振动、电量等，并将这些数据通过互联网传输到矩阵研究站，监测工厂运转状态，继续研究智能制造的节能高效方法，促进人类工业制造更上一层路。。</w:t>
      </w:r>
    </w:p>
    <w:p>
      <w:pPr>
        <w:pStyle w:val="30"/>
        <w:rPr>
          <w:color w:val="auto"/>
        </w:rPr>
      </w:pPr>
      <w:r>
        <w:drawing>
          <wp:anchor distT="0" distB="0" distL="114300" distR="114300" simplePos="0" relativeHeight="251688960" behindDoc="0" locked="0" layoutInCell="1" allowOverlap="1">
            <wp:simplePos x="0" y="0"/>
            <wp:positionH relativeFrom="margin">
              <wp:posOffset>770255</wp:posOffset>
            </wp:positionH>
            <wp:positionV relativeFrom="paragraph">
              <wp:posOffset>581025</wp:posOffset>
            </wp:positionV>
            <wp:extent cx="3966210" cy="2266950"/>
            <wp:effectExtent l="0" t="0" r="0" b="0"/>
            <wp:wrapTopAndBottom/>
            <wp:docPr id="74" name="Drawing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Drawing 43"/>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rot="10800000">
                      <a:off x="0" y="0"/>
                      <a:ext cx="3966210" cy="2266950"/>
                    </a:xfrm>
                    <a:prstGeom prst="rect">
                      <a:avLst/>
                    </a:prstGeom>
                  </pic:spPr>
                </pic:pic>
              </a:graphicData>
            </a:graphic>
          </wp:anchor>
        </w:drawing>
      </w:r>
      <w:r>
        <w:rPr>
          <w:rFonts w:hint="eastAsia" w:ascii="思源黑体 CN Heavy" w:hAnsi="思源黑体 CN Heavy" w:eastAsia="思源黑体 CN Heavy"/>
          <w:b/>
        </w:rPr>
        <w:t>初始位置：</w:t>
      </w:r>
      <w:r>
        <w:rPr>
          <w:rFonts w:hint="eastAsia"/>
          <w:color w:val="auto"/>
        </w:rPr>
        <w:t>在手动任务区内，并无字母方块，全部字母方块取决于红蓝战队自动控制阶段能否将对应道具移到手动任务区。</w:t>
      </w:r>
    </w:p>
    <w:p>
      <w:pPr>
        <w:pStyle w:val="30"/>
        <w:spacing w:after="156" w:afterLines="50"/>
        <w:ind w:firstLine="0"/>
        <w:jc w:val="center"/>
        <w:rPr>
          <w:bCs/>
          <w:color w:val="auto"/>
        </w:rPr>
      </w:pPr>
      <w:r>
        <w:rPr>
          <w:rFonts w:hint="eastAsia"/>
          <w:bCs/>
          <w:color w:val="auto"/>
        </w:rPr>
        <w:t>图</w:t>
      </w:r>
      <w:r>
        <w:rPr>
          <w:rFonts w:hint="eastAsia"/>
          <w:bCs/>
          <w:color w:val="auto"/>
          <w:lang w:val="en-US" w:eastAsia="zh-CN"/>
        </w:rPr>
        <w:t>1</w:t>
      </w:r>
      <w:r>
        <w:rPr>
          <w:bCs/>
          <w:color w:val="auto"/>
        </w:rPr>
        <w:t>.</w:t>
      </w:r>
      <w:r>
        <w:rPr>
          <w:rFonts w:hint="eastAsia"/>
          <w:bCs/>
          <w:color w:val="auto"/>
        </w:rPr>
        <w:t>4</w:t>
      </w:r>
      <w:r>
        <w:rPr>
          <w:bCs/>
          <w:color w:val="auto"/>
        </w:rPr>
        <w:t xml:space="preserve">-12 </w:t>
      </w:r>
      <w:r>
        <w:rPr>
          <w:rFonts w:hint="eastAsia"/>
          <w:bCs/>
          <w:color w:val="auto"/>
        </w:rPr>
        <w:t>M</w:t>
      </w:r>
      <w:r>
        <w:rPr>
          <w:bCs/>
          <w:color w:val="auto"/>
        </w:rPr>
        <w:t>08</w:t>
      </w:r>
      <w:r>
        <w:rPr>
          <w:rFonts w:hint="eastAsia"/>
          <w:bCs/>
          <w:color w:val="auto"/>
        </w:rPr>
        <w:t>任务初始位置示意图</w:t>
      </w:r>
    </w:p>
    <w:p>
      <w:pPr>
        <w:pStyle w:val="30"/>
      </w:pPr>
      <w:bookmarkStart w:id="11" w:name="_Hlk80289092"/>
      <w:r>
        <w:rPr>
          <w:rFonts w:hint="eastAsia" w:ascii="思源黑体 CN Heavy" w:hAnsi="思源黑体 CN Heavy" w:eastAsia="思源黑体 CN Heavy"/>
          <w:b/>
        </w:rPr>
        <w:t>任务得分：</w:t>
      </w:r>
      <w:r>
        <w:rPr>
          <w:rFonts w:hint="eastAsia"/>
        </w:rPr>
        <w:t>每成功按照顺序颜色嵌入一个方块，计</w:t>
      </w:r>
      <w:r>
        <w:t>20分</w:t>
      </w:r>
      <w:r>
        <w:rPr>
          <w:rFonts w:hint="eastAsia"/>
        </w:rPr>
        <w:t>；</w:t>
      </w:r>
      <w:r>
        <w:t>若</w:t>
      </w:r>
      <w:r>
        <w:rPr>
          <w:rFonts w:hint="eastAsia"/>
        </w:rPr>
        <w:t>同一颜色的方块按照顺序完成</w:t>
      </w:r>
      <w:r>
        <w:t>“MAKEX”</w:t>
      </w:r>
      <w:r>
        <w:rPr>
          <w:rFonts w:hint="eastAsia"/>
        </w:rPr>
        <w:t>嵌入，每组“</w:t>
      </w:r>
      <w:r>
        <w:t>MAKEX</w:t>
      </w:r>
      <w:r>
        <w:rPr>
          <w:rFonts w:hint="eastAsia"/>
        </w:rPr>
        <w:t>”序列方块额外获得5</w:t>
      </w:r>
      <w:r>
        <w:t>0</w:t>
      </w:r>
      <w:r>
        <w:rPr>
          <w:rFonts w:hint="eastAsia"/>
        </w:rPr>
        <w:t>分。</w:t>
      </w:r>
    </w:p>
    <w:bookmarkEnd w:id="11"/>
    <w:p>
      <w:pPr>
        <w:pStyle w:val="30"/>
        <w:rPr>
          <w:color w:val="auto"/>
        </w:rPr>
      </w:pPr>
      <w:r>
        <w:rPr>
          <w:rFonts w:hint="eastAsia" w:ascii="思源黑体 CN Heavy" w:hAnsi="思源黑体 CN Heavy" w:eastAsia="思源黑体 CN Heavy"/>
          <w:b/>
        </w:rPr>
        <w:t>得分判定：</w:t>
      </w:r>
      <w:r>
        <w:rPr>
          <w:rFonts w:hint="eastAsia"/>
        </w:rPr>
        <w:t>手动控</w:t>
      </w:r>
      <w:r>
        <w:rPr>
          <w:rFonts w:hint="eastAsia"/>
          <w:color w:val="auto"/>
        </w:rPr>
        <w:t>制阶段结束后的计分时刻：</w:t>
      </w:r>
    </w:p>
    <w:p>
      <w:pPr>
        <w:pStyle w:val="30"/>
        <w:rPr>
          <w:color w:val="auto"/>
        </w:rPr>
      </w:pPr>
      <w:r>
        <w:rPr>
          <w:color w:val="auto"/>
        </w:rPr>
        <w:t>a.</w:t>
      </w:r>
      <w:r>
        <w:rPr>
          <w:rFonts w:hint="eastAsia"/>
          <w:color w:val="auto"/>
        </w:rPr>
        <w:t>按照同色、且</w:t>
      </w:r>
      <w:r>
        <w:rPr>
          <w:color w:val="auto"/>
        </w:rPr>
        <w:t>按照</w:t>
      </w:r>
      <w:r>
        <w:rPr>
          <w:rFonts w:hint="eastAsia"/>
          <w:b/>
          <w:bCs/>
          <w:color w:val="auto"/>
        </w:rPr>
        <w:t>图示</w:t>
      </w:r>
      <w:r>
        <w:rPr>
          <w:rFonts w:hint="eastAsia"/>
          <w:color w:val="auto"/>
        </w:rPr>
        <w:t>的</w:t>
      </w:r>
      <w:r>
        <w:rPr>
          <w:color w:val="auto"/>
        </w:rPr>
        <w:t>顺序</w:t>
      </w:r>
      <w:r>
        <w:rPr>
          <w:rFonts w:hint="eastAsia"/>
          <w:color w:val="auto"/>
        </w:rPr>
        <w:t>嵌入矩阵研究站的方块，</w:t>
      </w:r>
      <w:r>
        <w:rPr>
          <w:color w:val="auto"/>
        </w:rPr>
        <w:t>视为嵌入成功</w:t>
      </w:r>
      <w:r>
        <w:rPr>
          <w:rFonts w:hint="eastAsia"/>
          <w:color w:val="auto"/>
        </w:rPr>
        <w:t>（图中视角为站在手动装载区的视角）;</w:t>
      </w:r>
    </w:p>
    <w:p>
      <w:pPr>
        <w:pStyle w:val="30"/>
      </w:pPr>
      <w:r>
        <w:rPr>
          <w:rFonts w:hint="eastAsia"/>
          <w:color w:val="auto"/>
        </w:rPr>
        <w:t>b.机器人与红、黄、蓝字母方块和方块嵌入储存架任意</w:t>
      </w:r>
      <w:r>
        <w:rPr>
          <w:rFonts w:hint="eastAsia"/>
        </w:rPr>
        <w:t>部分均不得直接接触；</w:t>
      </w:r>
    </w:p>
    <w:p>
      <w:pPr>
        <w:pStyle w:val="30"/>
      </w:pPr>
      <w:r>
        <w:t>c.</w:t>
      </w:r>
      <w:r>
        <w:rPr>
          <w:rFonts w:hint="eastAsia"/>
        </w:rPr>
        <w:t>红、黄、蓝字母方块均完全嵌入至方块嵌入储存架凹槽中</w:t>
      </w:r>
      <w:r>
        <w:t>；</w:t>
      </w:r>
    </w:p>
    <w:p>
      <w:pPr>
        <w:pStyle w:val="30"/>
      </w:pPr>
      <w:r>
        <w:rPr>
          <w:rFonts w:hint="eastAsia"/>
        </w:rPr>
        <w:t>以上判定均满足，则对应的方块得分。</w:t>
      </w:r>
    </w:p>
    <w:p>
      <w:pPr>
        <w:pStyle w:val="30"/>
        <w:rPr>
          <w:rStyle w:val="60"/>
          <w:b/>
          <w:bCs/>
          <w:color w:val="auto"/>
        </w:rPr>
      </w:pPr>
      <w:r>
        <w:drawing>
          <wp:anchor distT="0" distB="0" distL="114300" distR="114300" simplePos="0" relativeHeight="251700224" behindDoc="0" locked="0" layoutInCell="1" allowOverlap="1">
            <wp:simplePos x="0" y="0"/>
            <wp:positionH relativeFrom="margin">
              <wp:align>center</wp:align>
            </wp:positionH>
            <wp:positionV relativeFrom="paragraph">
              <wp:posOffset>558165</wp:posOffset>
            </wp:positionV>
            <wp:extent cx="4965065" cy="2300605"/>
            <wp:effectExtent l="0" t="0" r="6985" b="4445"/>
            <wp:wrapTopAndBottom/>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45">
                      <a:extLst>
                        <a:ext uri="{28A0092B-C50C-407E-A947-70E740481C1C}">
                          <a14:useLocalDpi xmlns:a14="http://schemas.microsoft.com/office/drawing/2010/main" val="0"/>
                        </a:ext>
                      </a:extLst>
                    </a:blip>
                    <a:stretch>
                      <a:fillRect/>
                    </a:stretch>
                  </pic:blipFill>
                  <pic:spPr>
                    <a:xfrm>
                      <a:off x="0" y="0"/>
                      <a:ext cx="4965065" cy="2300605"/>
                    </a:xfrm>
                    <a:prstGeom prst="rect">
                      <a:avLst/>
                    </a:prstGeom>
                  </pic:spPr>
                </pic:pic>
              </a:graphicData>
            </a:graphic>
          </wp:anchor>
        </w:drawing>
      </w:r>
      <w:r>
        <w:rPr>
          <w:rFonts w:hint="eastAsia"/>
          <w:b/>
          <w:bCs/>
          <w:color w:val="auto"/>
        </w:rPr>
        <w:t>注意：观察手仅可在手动装载区内接触字母方块，但不得手动将方块放置在机器人上</w:t>
      </w:r>
      <w:r>
        <w:rPr>
          <w:rStyle w:val="60"/>
          <w:rFonts w:hint="eastAsia"/>
          <w:b/>
          <w:bCs/>
          <w:color w:val="auto"/>
        </w:rPr>
        <w:t>；观察手在手动装载区不可直接或间接接触机器人。</w:t>
      </w:r>
    </w:p>
    <w:p>
      <w:pPr>
        <w:pStyle w:val="30"/>
        <w:jc w:val="center"/>
        <w:rPr>
          <w:rStyle w:val="60"/>
        </w:rPr>
      </w:pPr>
      <w:r>
        <w:rPr>
          <w:rFonts w:hint="eastAsia"/>
          <w:bCs/>
          <w:color w:val="auto"/>
        </w:rPr>
        <w:t>图</w:t>
      </w:r>
      <w:r>
        <w:rPr>
          <w:rFonts w:hint="eastAsia"/>
          <w:bCs/>
          <w:color w:val="auto"/>
          <w:lang w:val="en-US" w:eastAsia="zh-CN"/>
        </w:rPr>
        <w:t>1</w:t>
      </w:r>
      <w:r>
        <w:rPr>
          <w:bCs/>
          <w:color w:val="auto"/>
        </w:rPr>
        <w:t xml:space="preserve">.4-13 </w:t>
      </w:r>
      <w:r>
        <w:rPr>
          <w:rFonts w:hint="eastAsia"/>
          <w:bCs/>
          <w:color w:val="auto"/>
        </w:rPr>
        <w:t>M</w:t>
      </w:r>
      <w:r>
        <w:rPr>
          <w:bCs/>
          <w:color w:val="auto"/>
        </w:rPr>
        <w:t>08</w:t>
      </w:r>
      <w:r>
        <w:rPr>
          <w:rFonts w:hint="eastAsia"/>
          <w:bCs/>
          <w:color w:val="auto"/>
        </w:rPr>
        <w:t>任务得分示意图</w:t>
      </w:r>
    </w:p>
    <w:p>
      <w:pPr>
        <w:pStyle w:val="63"/>
      </w:pPr>
      <w:r>
        <w:rPr>
          <w:rFonts w:hint="eastAsia"/>
        </w:rPr>
        <w:t>M</w:t>
      </w:r>
      <w:r>
        <w:t xml:space="preserve">09 </w:t>
      </w:r>
      <w:r>
        <w:rPr>
          <w:rFonts w:hint="eastAsia"/>
        </w:rPr>
        <w:t>摆放战队标记物</w:t>
      </w:r>
    </w:p>
    <w:p>
      <w:pPr>
        <w:pStyle w:val="30"/>
        <w:rPr>
          <w:color w:val="auto"/>
        </w:rPr>
      </w:pPr>
      <w:r>
        <w:rPr>
          <w:rFonts w:hint="eastAsia" w:ascii="思源黑体 CN Heavy" w:hAnsi="思源黑体 CN Heavy" w:eastAsia="思源黑体 CN Heavy"/>
          <w:b/>
        </w:rPr>
        <w:t>任务类型：</w:t>
      </w:r>
      <w:r>
        <w:rPr>
          <w:rFonts w:hint="eastAsia"/>
          <w:color w:val="auto"/>
        </w:rPr>
        <w:t>联盟任务</w:t>
      </w:r>
    </w:p>
    <w:p>
      <w:pPr>
        <w:pStyle w:val="30"/>
        <w:rPr>
          <w:color w:val="auto"/>
        </w:rPr>
      </w:pPr>
      <w:r>
        <w:rPr>
          <w:rFonts w:hint="eastAsia" w:ascii="思源黑体 CN Heavy" w:hAnsi="思源黑体 CN Heavy" w:eastAsia="思源黑体 CN Heavy"/>
          <w:b/>
        </w:rPr>
        <w:t>任务内容：</w:t>
      </w:r>
      <w:r>
        <w:rPr>
          <w:rFonts w:hint="eastAsia"/>
          <w:color w:val="auto"/>
        </w:rPr>
        <w:t>标记物可以很好地帮助制造人员快速运转工厂的智能制造系统，机器人需要搬运并摆放标记物到标记区。</w:t>
      </w:r>
    </w:p>
    <w:p>
      <w:pPr>
        <w:pStyle w:val="30"/>
        <w:rPr>
          <w:color w:val="auto"/>
        </w:rPr>
      </w:pPr>
      <w:r>
        <w:rPr>
          <w:rFonts w:hint="eastAsia" w:ascii="思源黑体 CN Heavy" w:hAnsi="思源黑体 CN Heavy" w:eastAsia="思源黑体 CN Heavy"/>
          <w:b/>
        </w:rPr>
        <w:t>初始位置：</w:t>
      </w:r>
      <w:r>
        <w:rPr>
          <w:rFonts w:hint="eastAsia"/>
          <w:color w:val="auto"/>
        </w:rPr>
        <w:t>比赛开始前，选手将战队标记物放置在手动装载区两侧的方形标记区（战队标记物垂直投影完全处于方形标记区内），战队标记物为选手自制道具</w:t>
      </w:r>
      <w:r>
        <w:rPr>
          <w:color w:val="auto"/>
        </w:rPr>
        <w:t>(战队标记物的制作尺寸要求高度≥120mm，垂直投影面积</w:t>
      </w:r>
      <w:r>
        <w:rPr>
          <w:rFonts w:hint="eastAsia"/>
          <w:color w:val="auto"/>
        </w:rPr>
        <w:t>≤</w:t>
      </w:r>
      <w:r>
        <w:rPr>
          <w:color w:val="auto"/>
        </w:rPr>
        <w:t xml:space="preserve">直径60mm的圆形区域）； </w:t>
      </w:r>
    </w:p>
    <w:p>
      <w:pPr>
        <w:pStyle w:val="30"/>
      </w:pPr>
      <w:r>
        <w:rPr>
          <w:rFonts w:hint="eastAsia" w:ascii="思源黑体 CN Heavy" w:hAnsi="思源黑体 CN Heavy" w:eastAsia="思源黑体 CN Heavy"/>
          <w:b/>
        </w:rPr>
        <w:t>任务得分：</w:t>
      </w:r>
      <w:r>
        <w:rPr>
          <w:rFonts w:hint="eastAsia"/>
        </w:rPr>
        <w:t>成功摆放一个战队标记物，计</w:t>
      </w:r>
      <w:r>
        <w:t>30 分。</w:t>
      </w:r>
    </w:p>
    <w:p>
      <w:pPr>
        <w:pStyle w:val="30"/>
      </w:pPr>
      <w:r>
        <w:rPr>
          <w:rFonts w:hint="eastAsia" w:ascii="思源黑体 CN Heavy" w:hAnsi="思源黑体 CN Heavy" w:eastAsia="思源黑体 CN Heavy"/>
          <w:b/>
        </w:rPr>
        <w:t>得分判定：</w:t>
      </w:r>
      <w:r>
        <w:rPr>
          <w:rFonts w:hint="eastAsia"/>
        </w:rPr>
        <w:t>手动控制阶段结束后的计分时刻：</w:t>
      </w:r>
    </w:p>
    <w:p>
      <w:pPr>
        <w:pStyle w:val="30"/>
      </w:pPr>
      <w:r>
        <w:t>a.</w:t>
      </w:r>
      <w:r>
        <w:rPr>
          <w:rFonts w:hint="eastAsia"/>
        </w:rPr>
        <w:t>战队标记物垂直投影完全处于圆形指定区域</w:t>
      </w:r>
      <w:r>
        <w:t>；</w:t>
      </w:r>
    </w:p>
    <w:p>
      <w:pPr>
        <w:pStyle w:val="30"/>
      </w:pPr>
      <w:r>
        <w:t>b.战队标记物保持直立状态，与机器人无</w:t>
      </w:r>
      <w:r>
        <w:rPr>
          <w:rFonts w:hint="eastAsia"/>
        </w:rPr>
        <w:t>直接</w:t>
      </w:r>
      <w:r>
        <w:t>接触；</w:t>
      </w:r>
    </w:p>
    <w:p>
      <w:pPr>
        <w:pStyle w:val="30"/>
      </w:pPr>
      <w:r>
        <w:rPr>
          <w:rFonts w:hint="eastAsia"/>
        </w:rPr>
        <w:t>c</w:t>
      </w:r>
      <w:r>
        <w:t>.战队标记物与场地直接接触；</w:t>
      </w:r>
    </w:p>
    <w:p>
      <w:pPr>
        <w:pStyle w:val="30"/>
      </w:pPr>
      <w:r>
        <w:rPr>
          <w:rFonts w:hint="eastAsia"/>
        </w:rPr>
        <w:t>以上判定均满足，则对应的战队标记物得分。</w:t>
      </w:r>
    </w:p>
    <w:p>
      <w:pPr>
        <w:pStyle w:val="30"/>
        <w:rPr>
          <w:b/>
          <w:bCs/>
          <w:color w:val="auto"/>
        </w:rPr>
      </w:pPr>
      <w:r>
        <w:rPr>
          <w:rFonts w:hint="eastAsia"/>
          <w:b/>
          <w:bCs/>
          <w:color w:val="auto"/>
        </w:rPr>
        <w:t>注：战队标记物</w:t>
      </w:r>
      <w:r>
        <w:rPr>
          <w:b/>
          <w:bCs/>
          <w:color w:val="auto"/>
        </w:rPr>
        <w:t>不允许直接或</w:t>
      </w:r>
      <w:r>
        <w:rPr>
          <w:rStyle w:val="60"/>
          <w:b/>
          <w:bCs/>
          <w:color w:val="auto"/>
        </w:rPr>
        <w:t>间接接触。</w:t>
      </w:r>
    </w:p>
    <w:p>
      <w:pPr>
        <w:pStyle w:val="63"/>
      </w:pPr>
      <w:bookmarkStart w:id="12" w:name="_Hlk146274811"/>
      <w:r>
        <w:rPr>
          <w:rFonts w:hint="eastAsia"/>
        </w:rPr>
        <w:t>神秘任务</w:t>
      </w:r>
    </w:p>
    <w:p>
      <w:pPr>
        <w:pStyle w:val="30"/>
        <w:rPr>
          <w:color w:val="auto"/>
        </w:rPr>
      </w:pPr>
      <w:r>
        <w:rPr>
          <w:rFonts w:hint="eastAsia"/>
          <w:color w:val="auto"/>
        </w:rPr>
        <w:t>在不同级别的赛事中，可能存在与已有任务（</w:t>
      </w:r>
      <w:r>
        <w:rPr>
          <w:color w:val="auto"/>
        </w:rPr>
        <w:t>M01-M09）均不相同的比赛任务。</w:t>
      </w:r>
      <w:r>
        <w:rPr>
          <w:rFonts w:hint="eastAsia"/>
          <w:color w:val="auto"/>
        </w:rPr>
        <w:t>该任务的具体内容将在该场比赛的《秩序册》中公布。</w:t>
      </w:r>
    </w:p>
    <w:bookmarkEnd w:id="12"/>
    <w:p>
      <w:pPr>
        <w:pStyle w:val="33"/>
        <w:spacing w:line="420" w:lineRule="exact"/>
      </w:pPr>
      <w:bookmarkStart w:id="13" w:name="_Toc149299886"/>
      <w:r>
        <w:rPr>
          <w:rFonts w:hint="eastAsia"/>
        </w:rPr>
        <w:t>计分说明</w:t>
      </w:r>
      <w:bookmarkEnd w:id="13"/>
    </w:p>
    <w:p>
      <w:pPr>
        <w:pStyle w:val="63"/>
        <w:ind w:firstLine="480" w:firstLineChars="200"/>
        <w:rPr>
          <w:lang w:bidi="ar"/>
        </w:rPr>
      </w:pPr>
      <w:r>
        <w:rPr>
          <w:rFonts w:hint="eastAsia" w:ascii="思源黑体 CN Regular" w:hAnsi="思源黑体 CN Regular" w:eastAsia="思源黑体 CN Regular" w:cstheme="minorEastAsia"/>
          <w:b w:val="0"/>
          <w:color w:val="000000" w:themeColor="text1"/>
          <w:kern w:val="0"/>
          <w:lang w:bidi="ar"/>
          <w14:textFill>
            <w14:solidFill>
              <w14:schemeClr w14:val="tx1"/>
            </w14:solidFill>
          </w14:textFill>
        </w:rPr>
        <w:t>全场比赛中，裁判只在两个计分时刻进行计分，分别是自动控制阶段结束后和手动控制阶段结束后。在比赛过程中，裁判会实时监控比赛进程，记录违例的情况。</w:t>
      </w:r>
    </w:p>
    <w:p>
      <w:pPr>
        <w:pStyle w:val="63"/>
        <w:spacing w:after="156" w:afterLines="50"/>
      </w:pPr>
      <w:r>
        <w:rPr>
          <w:rFonts w:hint="eastAsia"/>
        </w:rPr>
        <w:t>独立</w:t>
      </w:r>
      <w:r>
        <w:t>任务</w:t>
      </w:r>
      <w:r>
        <w:rPr>
          <w:rFonts w:hint="eastAsia"/>
        </w:rPr>
        <w:t>得分</w:t>
      </w:r>
    </w:p>
    <w:tbl>
      <w:tblPr>
        <w:tblStyle w:val="17"/>
        <w:tblW w:w="8505" w:type="dxa"/>
        <w:jc w:val="center"/>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 w:type="dxa"/>
          <w:bottom w:w="0" w:type="dxa"/>
          <w:right w:w="10" w:type="dxa"/>
        </w:tblCellMar>
      </w:tblPr>
      <w:tblGrid>
        <w:gridCol w:w="2835"/>
        <w:gridCol w:w="2977"/>
        <w:gridCol w:w="1276"/>
        <w:gridCol w:w="1417"/>
      </w:tblGrid>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jc w:val="center"/>
        </w:trPr>
        <w:tc>
          <w:tcPr>
            <w:tcW w:w="2835" w:type="dxa"/>
            <w:vAlign w:val="center"/>
          </w:tcPr>
          <w:p>
            <w:pPr>
              <w:pStyle w:val="30"/>
              <w:ind w:firstLine="0"/>
              <w:jc w:val="center"/>
              <w:rPr>
                <w:b/>
                <w:bCs/>
                <w:color w:val="auto"/>
                <w:sz w:val="20"/>
                <w:szCs w:val="20"/>
              </w:rPr>
            </w:pPr>
            <w:r>
              <w:rPr>
                <w:b/>
                <w:bCs/>
                <w:color w:val="auto"/>
                <w:sz w:val="20"/>
                <w:szCs w:val="20"/>
              </w:rPr>
              <w:t>比赛任务</w:t>
            </w:r>
          </w:p>
        </w:tc>
        <w:tc>
          <w:tcPr>
            <w:tcW w:w="2977" w:type="dxa"/>
            <w:vAlign w:val="center"/>
          </w:tcPr>
          <w:p>
            <w:pPr>
              <w:pStyle w:val="30"/>
              <w:ind w:firstLine="0"/>
              <w:jc w:val="center"/>
              <w:rPr>
                <w:b/>
                <w:bCs/>
                <w:color w:val="auto"/>
                <w:sz w:val="20"/>
                <w:szCs w:val="20"/>
              </w:rPr>
            </w:pPr>
            <w:r>
              <w:rPr>
                <w:b/>
                <w:bCs/>
                <w:color w:val="auto"/>
                <w:sz w:val="20"/>
                <w:szCs w:val="20"/>
              </w:rPr>
              <w:t>得分道具</w:t>
            </w:r>
          </w:p>
        </w:tc>
        <w:tc>
          <w:tcPr>
            <w:tcW w:w="1276" w:type="dxa"/>
            <w:vAlign w:val="center"/>
          </w:tcPr>
          <w:p>
            <w:pPr>
              <w:pStyle w:val="30"/>
              <w:ind w:firstLine="0"/>
              <w:jc w:val="center"/>
              <w:rPr>
                <w:b/>
                <w:bCs/>
                <w:color w:val="auto"/>
                <w:sz w:val="20"/>
                <w:szCs w:val="20"/>
              </w:rPr>
            </w:pPr>
            <w:r>
              <w:rPr>
                <w:b/>
                <w:bCs/>
                <w:color w:val="auto"/>
                <w:sz w:val="20"/>
                <w:szCs w:val="20"/>
              </w:rPr>
              <w:t>单个道具得分</w:t>
            </w:r>
          </w:p>
        </w:tc>
        <w:tc>
          <w:tcPr>
            <w:tcW w:w="1417" w:type="dxa"/>
            <w:vAlign w:val="center"/>
          </w:tcPr>
          <w:p>
            <w:pPr>
              <w:pStyle w:val="30"/>
              <w:ind w:firstLine="0"/>
              <w:jc w:val="center"/>
              <w:rPr>
                <w:b/>
                <w:bCs/>
                <w:color w:val="auto"/>
                <w:sz w:val="20"/>
                <w:szCs w:val="20"/>
              </w:rPr>
            </w:pPr>
            <w:r>
              <w:rPr>
                <w:b/>
                <w:bCs/>
                <w:color w:val="auto"/>
                <w:sz w:val="20"/>
                <w:szCs w:val="20"/>
              </w:rPr>
              <w:t>理论最高分值</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jc w:val="center"/>
        </w:trPr>
        <w:tc>
          <w:tcPr>
            <w:tcW w:w="2835" w:type="dxa"/>
            <w:shd w:val="clear" w:color="auto" w:fill="FFFFFF"/>
            <w:vAlign w:val="center"/>
          </w:tcPr>
          <w:p>
            <w:pPr>
              <w:pStyle w:val="30"/>
              <w:ind w:firstLine="0"/>
              <w:rPr>
                <w:b/>
                <w:bCs/>
                <w:color w:val="auto"/>
                <w:sz w:val="20"/>
                <w:szCs w:val="20"/>
              </w:rPr>
            </w:pPr>
            <w:r>
              <w:rPr>
                <w:rFonts w:ascii="Arial" w:hAnsi="Arial" w:cs="Arial"/>
                <w:color w:val="000000"/>
                <w:sz w:val="20"/>
                <w:szCs w:val="20"/>
              </w:rPr>
              <w:t xml:space="preserve">M01 </w:t>
            </w:r>
            <w:r>
              <w:rPr>
                <w:rFonts w:hint="eastAsia" w:ascii="Arial" w:hAnsi="Arial" w:cs="Arial"/>
                <w:color w:val="000000"/>
                <w:sz w:val="20"/>
                <w:szCs w:val="20"/>
              </w:rPr>
              <w:t>采集量子芯片</w:t>
            </w:r>
          </w:p>
        </w:tc>
        <w:tc>
          <w:tcPr>
            <w:tcW w:w="2977" w:type="dxa"/>
            <w:vAlign w:val="center"/>
          </w:tcPr>
          <w:p>
            <w:pPr>
              <w:pStyle w:val="30"/>
              <w:numPr>
                <w:ilvl w:val="0"/>
                <w:numId w:val="11"/>
              </w:numPr>
              <w:jc w:val="left"/>
              <w:rPr>
                <w:color w:val="auto"/>
                <w:sz w:val="20"/>
                <w:szCs w:val="20"/>
              </w:rPr>
            </w:pPr>
            <w:r>
              <w:rPr>
                <w:color w:val="auto"/>
                <w:sz w:val="20"/>
                <w:szCs w:val="20"/>
              </w:rPr>
              <w:t>黄色</w:t>
            </w:r>
            <w:r>
              <w:rPr>
                <w:rFonts w:hint="eastAsia"/>
                <w:color w:val="auto"/>
                <w:sz w:val="20"/>
                <w:szCs w:val="20"/>
              </w:rPr>
              <w:t>K字母方</w:t>
            </w:r>
            <w:r>
              <w:rPr>
                <w:color w:val="auto"/>
                <w:sz w:val="20"/>
                <w:szCs w:val="20"/>
              </w:rPr>
              <w:t>块</w:t>
            </w:r>
            <w:r>
              <w:rPr>
                <w:rFonts w:hint="eastAsia"/>
                <w:color w:val="auto"/>
                <w:sz w:val="20"/>
                <w:szCs w:val="20"/>
              </w:rPr>
              <w:t>（含底座）</w:t>
            </w:r>
          </w:p>
          <w:p>
            <w:pPr>
              <w:pStyle w:val="30"/>
              <w:numPr>
                <w:ilvl w:val="0"/>
                <w:numId w:val="11"/>
              </w:numPr>
              <w:jc w:val="left"/>
              <w:rPr>
                <w:color w:val="auto"/>
                <w:sz w:val="20"/>
                <w:szCs w:val="20"/>
              </w:rPr>
            </w:pPr>
            <w:r>
              <w:rPr>
                <w:rFonts w:hint="eastAsia"/>
                <w:color w:val="auto"/>
                <w:sz w:val="20"/>
                <w:szCs w:val="20"/>
              </w:rPr>
              <w:t>黄色方块（含底座）</w:t>
            </w:r>
          </w:p>
        </w:tc>
        <w:tc>
          <w:tcPr>
            <w:tcW w:w="1276" w:type="dxa"/>
            <w:vAlign w:val="center"/>
          </w:tcPr>
          <w:p>
            <w:pPr>
              <w:pStyle w:val="30"/>
              <w:ind w:firstLine="0"/>
              <w:jc w:val="center"/>
              <w:rPr>
                <w:color w:val="auto"/>
                <w:sz w:val="20"/>
                <w:szCs w:val="20"/>
              </w:rPr>
            </w:pPr>
            <w:r>
              <w:rPr>
                <w:color w:val="auto"/>
                <w:sz w:val="20"/>
                <w:szCs w:val="20"/>
              </w:rPr>
              <w:t>20分/个</w:t>
            </w:r>
          </w:p>
        </w:tc>
        <w:tc>
          <w:tcPr>
            <w:tcW w:w="1417" w:type="dxa"/>
            <w:vAlign w:val="center"/>
          </w:tcPr>
          <w:p>
            <w:pPr>
              <w:pStyle w:val="30"/>
              <w:ind w:firstLine="0"/>
              <w:jc w:val="center"/>
              <w:rPr>
                <w:color w:val="auto"/>
                <w:sz w:val="20"/>
                <w:szCs w:val="20"/>
              </w:rPr>
            </w:pPr>
            <w:r>
              <w:rPr>
                <w:color w:val="auto"/>
                <w:sz w:val="20"/>
                <w:szCs w:val="20"/>
              </w:rPr>
              <w:t>20分</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jc w:val="center"/>
        </w:trPr>
        <w:tc>
          <w:tcPr>
            <w:tcW w:w="2835" w:type="dxa"/>
            <w:vAlign w:val="center"/>
          </w:tcPr>
          <w:p>
            <w:pPr>
              <w:pStyle w:val="30"/>
              <w:ind w:firstLine="0"/>
              <w:rPr>
                <w:b/>
                <w:bCs/>
                <w:color w:val="auto"/>
                <w:sz w:val="20"/>
                <w:szCs w:val="20"/>
              </w:rPr>
            </w:pPr>
            <w:r>
              <w:rPr>
                <w:rFonts w:ascii="Arial" w:hAnsi="Arial" w:cs="Arial"/>
                <w:color w:val="000000"/>
                <w:sz w:val="20"/>
                <w:szCs w:val="20"/>
              </w:rPr>
              <w:t xml:space="preserve">M02 </w:t>
            </w:r>
            <w:r>
              <w:rPr>
                <w:rFonts w:hint="eastAsia" w:ascii="Arial" w:hAnsi="Arial" w:cs="Arial"/>
                <w:color w:val="000000"/>
                <w:sz w:val="20"/>
                <w:szCs w:val="20"/>
              </w:rPr>
              <w:t>转运量子芯片和有机晶体</w:t>
            </w:r>
          </w:p>
        </w:tc>
        <w:tc>
          <w:tcPr>
            <w:tcW w:w="2977" w:type="dxa"/>
            <w:vAlign w:val="center"/>
          </w:tcPr>
          <w:p>
            <w:pPr>
              <w:pStyle w:val="30"/>
              <w:numPr>
                <w:ilvl w:val="0"/>
                <w:numId w:val="11"/>
              </w:numPr>
              <w:jc w:val="left"/>
              <w:rPr>
                <w:color w:val="auto"/>
                <w:sz w:val="20"/>
                <w:szCs w:val="20"/>
              </w:rPr>
            </w:pPr>
            <w:r>
              <w:rPr>
                <w:color w:val="auto"/>
                <w:sz w:val="20"/>
                <w:szCs w:val="20"/>
              </w:rPr>
              <w:t>黄色</w:t>
            </w:r>
            <w:r>
              <w:rPr>
                <w:rFonts w:hint="eastAsia"/>
                <w:color w:val="auto"/>
                <w:sz w:val="20"/>
                <w:szCs w:val="20"/>
              </w:rPr>
              <w:t>K字母方</w:t>
            </w:r>
            <w:r>
              <w:rPr>
                <w:color w:val="auto"/>
                <w:sz w:val="20"/>
                <w:szCs w:val="20"/>
              </w:rPr>
              <w:t>块</w:t>
            </w:r>
            <w:r>
              <w:rPr>
                <w:rFonts w:hint="eastAsia"/>
                <w:color w:val="auto"/>
                <w:sz w:val="20"/>
                <w:szCs w:val="20"/>
              </w:rPr>
              <w:t>（含底座）</w:t>
            </w:r>
          </w:p>
          <w:p>
            <w:pPr>
              <w:pStyle w:val="30"/>
              <w:numPr>
                <w:ilvl w:val="0"/>
                <w:numId w:val="11"/>
              </w:numPr>
              <w:jc w:val="left"/>
              <w:rPr>
                <w:color w:val="auto"/>
                <w:sz w:val="20"/>
                <w:szCs w:val="20"/>
              </w:rPr>
            </w:pPr>
            <w:r>
              <w:rPr>
                <w:rFonts w:hint="eastAsia"/>
                <w:color w:val="auto"/>
                <w:sz w:val="20"/>
                <w:szCs w:val="20"/>
              </w:rPr>
              <w:t>黄色方块（含底座）</w:t>
            </w:r>
          </w:p>
        </w:tc>
        <w:tc>
          <w:tcPr>
            <w:tcW w:w="1276" w:type="dxa"/>
            <w:shd w:val="clear" w:color="auto" w:fill="FFFFFF"/>
            <w:vAlign w:val="center"/>
          </w:tcPr>
          <w:p>
            <w:pPr>
              <w:pStyle w:val="30"/>
              <w:ind w:firstLine="0"/>
              <w:jc w:val="center"/>
              <w:rPr>
                <w:color w:val="auto"/>
                <w:sz w:val="20"/>
                <w:szCs w:val="20"/>
              </w:rPr>
            </w:pPr>
            <w:r>
              <w:rPr>
                <w:color w:val="auto"/>
                <w:sz w:val="20"/>
                <w:szCs w:val="20"/>
              </w:rPr>
              <w:t>30分/个</w:t>
            </w:r>
          </w:p>
        </w:tc>
        <w:tc>
          <w:tcPr>
            <w:tcW w:w="1417" w:type="dxa"/>
            <w:shd w:val="clear" w:color="auto" w:fill="FFFFFF"/>
            <w:vAlign w:val="center"/>
          </w:tcPr>
          <w:p>
            <w:pPr>
              <w:pStyle w:val="30"/>
              <w:ind w:firstLine="0"/>
              <w:jc w:val="center"/>
              <w:rPr>
                <w:color w:val="auto"/>
                <w:sz w:val="20"/>
                <w:szCs w:val="20"/>
              </w:rPr>
            </w:pPr>
            <w:r>
              <w:rPr>
                <w:color w:val="auto"/>
                <w:sz w:val="20"/>
                <w:szCs w:val="20"/>
              </w:rPr>
              <w:t>30分</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jc w:val="center"/>
        </w:trPr>
        <w:tc>
          <w:tcPr>
            <w:tcW w:w="2835" w:type="dxa"/>
            <w:vAlign w:val="center"/>
          </w:tcPr>
          <w:p>
            <w:pPr>
              <w:pStyle w:val="30"/>
              <w:ind w:firstLine="0"/>
              <w:rPr>
                <w:b/>
                <w:bCs/>
                <w:color w:val="auto"/>
                <w:sz w:val="20"/>
                <w:szCs w:val="20"/>
              </w:rPr>
            </w:pPr>
            <w:r>
              <w:rPr>
                <w:rFonts w:ascii="Arial" w:hAnsi="Arial" w:cs="Arial"/>
                <w:color w:val="000000"/>
                <w:sz w:val="20"/>
                <w:szCs w:val="20"/>
              </w:rPr>
              <w:t xml:space="preserve">M03 </w:t>
            </w:r>
            <w:r>
              <w:rPr>
                <w:rFonts w:hint="eastAsia" w:ascii="Arial" w:hAnsi="Arial" w:cs="Arial"/>
                <w:color w:val="000000"/>
                <w:sz w:val="20"/>
                <w:szCs w:val="20"/>
              </w:rPr>
              <w:t>采集数据块</w:t>
            </w:r>
          </w:p>
        </w:tc>
        <w:tc>
          <w:tcPr>
            <w:tcW w:w="2977" w:type="dxa"/>
            <w:vAlign w:val="center"/>
          </w:tcPr>
          <w:p>
            <w:pPr>
              <w:pStyle w:val="30"/>
              <w:ind w:firstLine="0"/>
              <w:jc w:val="center"/>
              <w:rPr>
                <w:color w:val="auto"/>
                <w:sz w:val="20"/>
                <w:szCs w:val="20"/>
              </w:rPr>
            </w:pPr>
            <w:r>
              <w:rPr>
                <w:color w:val="auto"/>
                <w:sz w:val="20"/>
                <w:szCs w:val="20"/>
              </w:rPr>
              <w:t>红色/蓝色</w:t>
            </w:r>
            <w:r>
              <w:rPr>
                <w:rFonts w:hint="eastAsia"/>
                <w:color w:val="auto"/>
                <w:sz w:val="20"/>
                <w:szCs w:val="20"/>
              </w:rPr>
              <w:t>字母方块</w:t>
            </w:r>
          </w:p>
        </w:tc>
        <w:tc>
          <w:tcPr>
            <w:tcW w:w="1276" w:type="dxa"/>
            <w:vAlign w:val="center"/>
          </w:tcPr>
          <w:p>
            <w:pPr>
              <w:pStyle w:val="30"/>
              <w:ind w:firstLine="0"/>
              <w:jc w:val="center"/>
              <w:rPr>
                <w:color w:val="auto"/>
                <w:sz w:val="20"/>
                <w:szCs w:val="20"/>
              </w:rPr>
            </w:pPr>
            <w:r>
              <w:rPr>
                <w:color w:val="auto"/>
                <w:sz w:val="20"/>
                <w:szCs w:val="20"/>
              </w:rPr>
              <w:t>30分/个</w:t>
            </w:r>
          </w:p>
        </w:tc>
        <w:tc>
          <w:tcPr>
            <w:tcW w:w="1417" w:type="dxa"/>
            <w:vAlign w:val="center"/>
          </w:tcPr>
          <w:p>
            <w:pPr>
              <w:pStyle w:val="30"/>
              <w:ind w:firstLine="0"/>
              <w:jc w:val="center"/>
              <w:rPr>
                <w:color w:val="auto"/>
                <w:sz w:val="20"/>
                <w:szCs w:val="20"/>
              </w:rPr>
            </w:pPr>
            <w:r>
              <w:rPr>
                <w:color w:val="auto"/>
                <w:sz w:val="20"/>
                <w:szCs w:val="20"/>
              </w:rPr>
              <w:t>30分</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jc w:val="center"/>
        </w:trPr>
        <w:tc>
          <w:tcPr>
            <w:tcW w:w="2835" w:type="dxa"/>
            <w:vAlign w:val="center"/>
          </w:tcPr>
          <w:p>
            <w:pPr>
              <w:pStyle w:val="30"/>
              <w:ind w:firstLine="0"/>
              <w:rPr>
                <w:b/>
                <w:bCs/>
                <w:color w:val="auto"/>
                <w:sz w:val="20"/>
                <w:szCs w:val="20"/>
              </w:rPr>
            </w:pPr>
            <w:r>
              <w:rPr>
                <w:rFonts w:ascii="Arial" w:hAnsi="Arial" w:cs="Arial"/>
                <w:color w:val="000000"/>
                <w:sz w:val="20"/>
                <w:szCs w:val="20"/>
              </w:rPr>
              <w:t xml:space="preserve">M04 </w:t>
            </w:r>
            <w:r>
              <w:rPr>
                <w:rFonts w:hint="eastAsia" w:ascii="Arial" w:hAnsi="Arial" w:cs="Arial"/>
                <w:color w:val="000000"/>
                <w:sz w:val="20"/>
                <w:szCs w:val="20"/>
              </w:rPr>
              <w:t>智能制造</w:t>
            </w:r>
          </w:p>
        </w:tc>
        <w:tc>
          <w:tcPr>
            <w:tcW w:w="2977" w:type="dxa"/>
            <w:vAlign w:val="center"/>
          </w:tcPr>
          <w:p>
            <w:pPr>
              <w:pStyle w:val="30"/>
              <w:ind w:firstLine="0"/>
              <w:jc w:val="center"/>
              <w:rPr>
                <w:color w:val="auto"/>
                <w:sz w:val="20"/>
                <w:szCs w:val="20"/>
              </w:rPr>
            </w:pPr>
            <w:r>
              <w:rPr>
                <w:color w:val="auto"/>
                <w:sz w:val="20"/>
                <w:szCs w:val="20"/>
              </w:rPr>
              <w:t>红/蓝“M“或”X“字母朝上方块</w:t>
            </w:r>
          </w:p>
        </w:tc>
        <w:tc>
          <w:tcPr>
            <w:tcW w:w="1276" w:type="dxa"/>
            <w:vAlign w:val="center"/>
          </w:tcPr>
          <w:p>
            <w:pPr>
              <w:pStyle w:val="30"/>
              <w:ind w:firstLine="0"/>
              <w:jc w:val="center"/>
              <w:rPr>
                <w:color w:val="auto"/>
                <w:sz w:val="20"/>
                <w:szCs w:val="20"/>
              </w:rPr>
            </w:pPr>
            <w:r>
              <w:rPr>
                <w:color w:val="auto"/>
                <w:sz w:val="20"/>
                <w:szCs w:val="20"/>
              </w:rPr>
              <w:t>20分/个</w:t>
            </w:r>
          </w:p>
        </w:tc>
        <w:tc>
          <w:tcPr>
            <w:tcW w:w="1417" w:type="dxa"/>
            <w:vAlign w:val="center"/>
          </w:tcPr>
          <w:p>
            <w:pPr>
              <w:pStyle w:val="30"/>
              <w:ind w:firstLine="0"/>
              <w:jc w:val="center"/>
              <w:rPr>
                <w:color w:val="auto"/>
                <w:sz w:val="20"/>
                <w:szCs w:val="20"/>
              </w:rPr>
            </w:pPr>
            <w:r>
              <w:rPr>
                <w:color w:val="auto"/>
                <w:sz w:val="20"/>
                <w:szCs w:val="20"/>
              </w:rPr>
              <w:t>20分</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jc w:val="center"/>
        </w:trPr>
        <w:tc>
          <w:tcPr>
            <w:tcW w:w="2835" w:type="dxa"/>
            <w:vAlign w:val="center"/>
          </w:tcPr>
          <w:p>
            <w:pPr>
              <w:pStyle w:val="30"/>
              <w:ind w:firstLine="0"/>
              <w:rPr>
                <w:b/>
                <w:bCs/>
                <w:color w:val="auto"/>
                <w:sz w:val="20"/>
                <w:szCs w:val="20"/>
              </w:rPr>
            </w:pPr>
            <w:r>
              <w:rPr>
                <w:rFonts w:ascii="Arial" w:hAnsi="Arial" w:cs="Arial"/>
                <w:color w:val="000000"/>
                <w:sz w:val="20"/>
                <w:szCs w:val="20"/>
              </w:rPr>
              <w:t xml:space="preserve">M05 </w:t>
            </w:r>
            <w:r>
              <w:rPr>
                <w:rFonts w:hint="eastAsia" w:ascii="Arial" w:hAnsi="Arial" w:cs="Arial"/>
                <w:color w:val="000000"/>
                <w:sz w:val="20"/>
                <w:szCs w:val="20"/>
              </w:rPr>
              <w:t>处理污染物</w:t>
            </w:r>
          </w:p>
        </w:tc>
        <w:tc>
          <w:tcPr>
            <w:tcW w:w="2977" w:type="dxa"/>
            <w:vAlign w:val="center"/>
          </w:tcPr>
          <w:p>
            <w:pPr>
              <w:pStyle w:val="30"/>
              <w:numPr>
                <w:ilvl w:val="0"/>
                <w:numId w:val="12"/>
              </w:numPr>
              <w:jc w:val="left"/>
              <w:rPr>
                <w:color w:val="auto"/>
                <w:sz w:val="20"/>
                <w:szCs w:val="20"/>
              </w:rPr>
            </w:pPr>
            <w:r>
              <w:rPr>
                <w:color w:val="auto"/>
                <w:sz w:val="20"/>
                <w:szCs w:val="20"/>
              </w:rPr>
              <w:t>红/蓝“M“或”X“字母朝上方块</w:t>
            </w:r>
          </w:p>
          <w:p>
            <w:pPr>
              <w:pStyle w:val="30"/>
              <w:numPr>
                <w:ilvl w:val="0"/>
                <w:numId w:val="12"/>
              </w:numPr>
              <w:jc w:val="left"/>
              <w:rPr>
                <w:color w:val="auto"/>
                <w:sz w:val="20"/>
                <w:szCs w:val="20"/>
              </w:rPr>
            </w:pPr>
            <w:r>
              <w:rPr>
                <w:color w:val="auto"/>
                <w:sz w:val="20"/>
                <w:szCs w:val="20"/>
              </w:rPr>
              <w:t>红色/蓝色字母方块</w:t>
            </w:r>
          </w:p>
        </w:tc>
        <w:tc>
          <w:tcPr>
            <w:tcW w:w="1276" w:type="dxa"/>
            <w:vAlign w:val="center"/>
          </w:tcPr>
          <w:p>
            <w:pPr>
              <w:pStyle w:val="30"/>
              <w:numPr>
                <w:ilvl w:val="0"/>
                <w:numId w:val="12"/>
              </w:numPr>
              <w:jc w:val="left"/>
              <w:rPr>
                <w:color w:val="auto"/>
                <w:sz w:val="20"/>
                <w:szCs w:val="20"/>
              </w:rPr>
            </w:pPr>
            <w:r>
              <w:rPr>
                <w:rFonts w:hint="eastAsia"/>
                <w:color w:val="auto"/>
                <w:sz w:val="20"/>
                <w:szCs w:val="20"/>
              </w:rPr>
              <w:t>1</w:t>
            </w:r>
            <w:r>
              <w:rPr>
                <w:color w:val="auto"/>
                <w:sz w:val="20"/>
                <w:szCs w:val="20"/>
              </w:rPr>
              <w:t>0</w:t>
            </w:r>
            <w:r>
              <w:rPr>
                <w:rFonts w:hint="eastAsia"/>
                <w:color w:val="auto"/>
                <w:sz w:val="20"/>
                <w:szCs w:val="20"/>
              </w:rPr>
              <w:t>分/个</w:t>
            </w:r>
          </w:p>
          <w:p>
            <w:pPr>
              <w:pStyle w:val="30"/>
              <w:numPr>
                <w:ilvl w:val="0"/>
                <w:numId w:val="12"/>
              </w:numPr>
              <w:jc w:val="left"/>
              <w:rPr>
                <w:color w:val="auto"/>
                <w:sz w:val="20"/>
                <w:szCs w:val="20"/>
              </w:rPr>
            </w:pPr>
            <w:r>
              <w:rPr>
                <w:rFonts w:hint="eastAsia"/>
                <w:color w:val="auto"/>
                <w:sz w:val="20"/>
                <w:szCs w:val="20"/>
              </w:rPr>
              <w:t>3</w:t>
            </w:r>
            <w:r>
              <w:rPr>
                <w:color w:val="auto"/>
                <w:sz w:val="20"/>
                <w:szCs w:val="20"/>
              </w:rPr>
              <w:t>0</w:t>
            </w:r>
            <w:r>
              <w:rPr>
                <w:rFonts w:hint="eastAsia"/>
                <w:color w:val="auto"/>
                <w:sz w:val="20"/>
                <w:szCs w:val="20"/>
              </w:rPr>
              <w:t>分/个</w:t>
            </w:r>
          </w:p>
        </w:tc>
        <w:tc>
          <w:tcPr>
            <w:tcW w:w="1417" w:type="dxa"/>
            <w:vAlign w:val="center"/>
          </w:tcPr>
          <w:p>
            <w:pPr>
              <w:pStyle w:val="30"/>
              <w:numPr>
                <w:ilvl w:val="0"/>
                <w:numId w:val="12"/>
              </w:numPr>
              <w:jc w:val="center"/>
              <w:rPr>
                <w:color w:val="auto"/>
                <w:sz w:val="20"/>
                <w:szCs w:val="20"/>
              </w:rPr>
            </w:pPr>
            <w:r>
              <w:rPr>
                <w:rFonts w:hint="eastAsia"/>
                <w:color w:val="auto"/>
                <w:sz w:val="20"/>
                <w:szCs w:val="20"/>
              </w:rPr>
              <w:t>1</w:t>
            </w:r>
            <w:r>
              <w:rPr>
                <w:color w:val="auto"/>
                <w:sz w:val="20"/>
                <w:szCs w:val="20"/>
              </w:rPr>
              <w:t>0</w:t>
            </w:r>
            <w:r>
              <w:rPr>
                <w:rFonts w:hint="eastAsia"/>
                <w:color w:val="auto"/>
                <w:sz w:val="20"/>
                <w:szCs w:val="20"/>
              </w:rPr>
              <w:t>分</w:t>
            </w:r>
          </w:p>
          <w:p>
            <w:pPr>
              <w:pStyle w:val="30"/>
              <w:numPr>
                <w:ilvl w:val="0"/>
                <w:numId w:val="12"/>
              </w:numPr>
              <w:jc w:val="center"/>
              <w:rPr>
                <w:color w:val="auto"/>
                <w:sz w:val="20"/>
                <w:szCs w:val="20"/>
              </w:rPr>
            </w:pPr>
            <w:r>
              <w:rPr>
                <w:rFonts w:hint="eastAsia"/>
                <w:color w:val="auto"/>
                <w:sz w:val="20"/>
                <w:szCs w:val="20"/>
              </w:rPr>
              <w:t>3</w:t>
            </w:r>
            <w:r>
              <w:rPr>
                <w:color w:val="auto"/>
                <w:sz w:val="20"/>
                <w:szCs w:val="20"/>
              </w:rPr>
              <w:t>0</w:t>
            </w:r>
            <w:r>
              <w:rPr>
                <w:rFonts w:hint="eastAsia"/>
                <w:color w:val="auto"/>
                <w:sz w:val="20"/>
                <w:szCs w:val="20"/>
              </w:rPr>
              <w:t>分</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jc w:val="center"/>
        </w:trPr>
        <w:tc>
          <w:tcPr>
            <w:tcW w:w="2835" w:type="dxa"/>
            <w:vAlign w:val="center"/>
          </w:tcPr>
          <w:p>
            <w:pPr>
              <w:pStyle w:val="30"/>
              <w:ind w:firstLine="0"/>
              <w:rPr>
                <w:rFonts w:ascii="Arial" w:hAnsi="Arial" w:cs="Arial"/>
                <w:color w:val="000000"/>
                <w:sz w:val="20"/>
                <w:szCs w:val="20"/>
              </w:rPr>
            </w:pPr>
            <w:r>
              <w:rPr>
                <w:rFonts w:ascii="Arial" w:hAnsi="Arial" w:cs="Arial"/>
                <w:color w:val="000000"/>
                <w:sz w:val="20"/>
                <w:szCs w:val="20"/>
              </w:rPr>
              <w:t xml:space="preserve">M06 </w:t>
            </w:r>
            <w:r>
              <w:rPr>
                <w:rFonts w:hint="eastAsia" w:ascii="Arial" w:hAnsi="Arial" w:cs="Arial"/>
                <w:color w:val="000000"/>
                <w:sz w:val="20"/>
                <w:szCs w:val="20"/>
              </w:rPr>
              <w:t>堆放储物仓</w:t>
            </w:r>
          </w:p>
        </w:tc>
        <w:tc>
          <w:tcPr>
            <w:tcW w:w="2977" w:type="dxa"/>
            <w:vAlign w:val="center"/>
          </w:tcPr>
          <w:p>
            <w:pPr>
              <w:pStyle w:val="30"/>
              <w:numPr>
                <w:ilvl w:val="0"/>
                <w:numId w:val="12"/>
              </w:numPr>
              <w:jc w:val="left"/>
              <w:rPr>
                <w:color w:val="auto"/>
                <w:sz w:val="20"/>
                <w:szCs w:val="20"/>
              </w:rPr>
            </w:pPr>
            <w:r>
              <w:rPr>
                <w:rFonts w:hint="eastAsia"/>
                <w:color w:val="auto"/>
                <w:sz w:val="20"/>
                <w:szCs w:val="20"/>
              </w:rPr>
              <w:t>红色</w:t>
            </w:r>
            <w:r>
              <w:rPr>
                <w:color w:val="auto"/>
                <w:sz w:val="20"/>
                <w:szCs w:val="20"/>
              </w:rPr>
              <w:t>/蓝色字母方块</w:t>
            </w:r>
          </w:p>
          <w:p>
            <w:pPr>
              <w:pStyle w:val="30"/>
              <w:numPr>
                <w:ilvl w:val="0"/>
                <w:numId w:val="12"/>
              </w:numPr>
              <w:jc w:val="left"/>
              <w:rPr>
                <w:color w:val="auto"/>
                <w:sz w:val="20"/>
                <w:szCs w:val="20"/>
              </w:rPr>
            </w:pPr>
            <w:r>
              <w:rPr>
                <w:rFonts w:hint="eastAsia"/>
                <w:color w:val="auto"/>
                <w:sz w:val="20"/>
                <w:szCs w:val="20"/>
              </w:rPr>
              <w:t>黄色方块</w:t>
            </w:r>
          </w:p>
        </w:tc>
        <w:tc>
          <w:tcPr>
            <w:tcW w:w="1276" w:type="dxa"/>
            <w:vAlign w:val="center"/>
          </w:tcPr>
          <w:p>
            <w:pPr>
              <w:pStyle w:val="30"/>
              <w:numPr>
                <w:ilvl w:val="0"/>
                <w:numId w:val="12"/>
              </w:numPr>
              <w:jc w:val="left"/>
              <w:rPr>
                <w:color w:val="auto"/>
                <w:sz w:val="20"/>
                <w:szCs w:val="20"/>
              </w:rPr>
            </w:pPr>
            <w:r>
              <w:rPr>
                <w:color w:val="auto"/>
                <w:sz w:val="20"/>
                <w:szCs w:val="20"/>
              </w:rPr>
              <w:t>30</w:t>
            </w:r>
            <w:r>
              <w:rPr>
                <w:rFonts w:hint="eastAsia"/>
                <w:color w:val="auto"/>
                <w:sz w:val="20"/>
                <w:szCs w:val="20"/>
              </w:rPr>
              <w:t>分/个</w:t>
            </w:r>
          </w:p>
          <w:p>
            <w:pPr>
              <w:pStyle w:val="30"/>
              <w:numPr>
                <w:ilvl w:val="0"/>
                <w:numId w:val="12"/>
              </w:numPr>
              <w:jc w:val="left"/>
              <w:rPr>
                <w:color w:val="auto"/>
                <w:sz w:val="20"/>
                <w:szCs w:val="20"/>
              </w:rPr>
            </w:pPr>
            <w:r>
              <w:rPr>
                <w:color w:val="auto"/>
                <w:sz w:val="20"/>
                <w:szCs w:val="20"/>
              </w:rPr>
              <w:t>10</w:t>
            </w:r>
            <w:r>
              <w:rPr>
                <w:rFonts w:hint="eastAsia"/>
                <w:color w:val="auto"/>
                <w:sz w:val="20"/>
                <w:szCs w:val="20"/>
              </w:rPr>
              <w:t>分/个</w:t>
            </w:r>
          </w:p>
        </w:tc>
        <w:tc>
          <w:tcPr>
            <w:tcW w:w="1417" w:type="dxa"/>
            <w:vAlign w:val="center"/>
          </w:tcPr>
          <w:p>
            <w:pPr>
              <w:pStyle w:val="30"/>
              <w:numPr>
                <w:ilvl w:val="0"/>
                <w:numId w:val="12"/>
              </w:numPr>
              <w:jc w:val="center"/>
              <w:rPr>
                <w:color w:val="auto"/>
                <w:sz w:val="20"/>
                <w:szCs w:val="20"/>
              </w:rPr>
            </w:pPr>
            <w:r>
              <w:rPr>
                <w:color w:val="auto"/>
                <w:sz w:val="20"/>
                <w:szCs w:val="20"/>
              </w:rPr>
              <w:t>60</w:t>
            </w:r>
            <w:r>
              <w:rPr>
                <w:rFonts w:hint="eastAsia"/>
                <w:color w:val="auto"/>
                <w:sz w:val="20"/>
                <w:szCs w:val="20"/>
              </w:rPr>
              <w:t>分</w:t>
            </w:r>
          </w:p>
          <w:p>
            <w:pPr>
              <w:pStyle w:val="30"/>
              <w:numPr>
                <w:ilvl w:val="0"/>
                <w:numId w:val="12"/>
              </w:numPr>
              <w:jc w:val="center"/>
              <w:rPr>
                <w:color w:val="auto"/>
                <w:sz w:val="20"/>
                <w:szCs w:val="20"/>
              </w:rPr>
            </w:pPr>
            <w:r>
              <w:rPr>
                <w:color w:val="auto"/>
                <w:sz w:val="20"/>
                <w:szCs w:val="20"/>
              </w:rPr>
              <w:t>10</w:t>
            </w:r>
            <w:r>
              <w:rPr>
                <w:rFonts w:hint="eastAsia"/>
                <w:color w:val="auto"/>
                <w:sz w:val="20"/>
                <w:szCs w:val="20"/>
              </w:rPr>
              <w:t>分</w:t>
            </w:r>
          </w:p>
        </w:tc>
      </w:tr>
    </w:tbl>
    <w:p>
      <w:pPr>
        <w:pStyle w:val="63"/>
        <w:spacing w:before="156" w:beforeLines="50" w:after="156" w:afterLines="50"/>
      </w:pPr>
      <w:r>
        <w:rPr>
          <w:rFonts w:hint="eastAsia"/>
        </w:rPr>
        <w:t>联盟</w:t>
      </w:r>
      <w:r>
        <w:t>任务</w:t>
      </w:r>
      <w:r>
        <w:rPr>
          <w:rFonts w:hint="eastAsia"/>
        </w:rPr>
        <w:t>得分</w:t>
      </w:r>
    </w:p>
    <w:tbl>
      <w:tblPr>
        <w:tblStyle w:val="17"/>
        <w:tblW w:w="8505" w:type="dxa"/>
        <w:jc w:val="center"/>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 w:type="dxa"/>
          <w:bottom w:w="0" w:type="dxa"/>
          <w:right w:w="10" w:type="dxa"/>
        </w:tblCellMar>
      </w:tblPr>
      <w:tblGrid>
        <w:gridCol w:w="2768"/>
        <w:gridCol w:w="2935"/>
        <w:gridCol w:w="1259"/>
        <w:gridCol w:w="1543"/>
      </w:tblGrid>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jc w:val="center"/>
        </w:trPr>
        <w:tc>
          <w:tcPr>
            <w:tcW w:w="2768" w:type="dxa"/>
            <w:vAlign w:val="center"/>
          </w:tcPr>
          <w:p>
            <w:pPr>
              <w:pStyle w:val="30"/>
              <w:ind w:firstLine="0"/>
              <w:jc w:val="center"/>
              <w:rPr>
                <w:b/>
                <w:bCs/>
                <w:color w:val="auto"/>
                <w:sz w:val="20"/>
                <w:szCs w:val="20"/>
              </w:rPr>
            </w:pPr>
            <w:r>
              <w:rPr>
                <w:b/>
                <w:bCs/>
                <w:color w:val="auto"/>
                <w:sz w:val="20"/>
                <w:szCs w:val="20"/>
              </w:rPr>
              <w:t>比赛任务</w:t>
            </w:r>
          </w:p>
        </w:tc>
        <w:tc>
          <w:tcPr>
            <w:tcW w:w="2935" w:type="dxa"/>
            <w:vAlign w:val="center"/>
          </w:tcPr>
          <w:p>
            <w:pPr>
              <w:pStyle w:val="30"/>
              <w:ind w:firstLine="0"/>
              <w:jc w:val="center"/>
              <w:rPr>
                <w:b/>
                <w:bCs/>
                <w:color w:val="auto"/>
                <w:sz w:val="20"/>
                <w:szCs w:val="20"/>
              </w:rPr>
            </w:pPr>
            <w:r>
              <w:rPr>
                <w:b/>
                <w:bCs/>
                <w:color w:val="auto"/>
                <w:sz w:val="20"/>
                <w:szCs w:val="20"/>
              </w:rPr>
              <w:t>得分道具</w:t>
            </w:r>
          </w:p>
        </w:tc>
        <w:tc>
          <w:tcPr>
            <w:tcW w:w="1259" w:type="dxa"/>
            <w:vAlign w:val="center"/>
          </w:tcPr>
          <w:p>
            <w:pPr>
              <w:pStyle w:val="30"/>
              <w:ind w:firstLine="0"/>
              <w:jc w:val="center"/>
              <w:rPr>
                <w:b/>
                <w:bCs/>
                <w:color w:val="auto"/>
                <w:sz w:val="20"/>
                <w:szCs w:val="20"/>
              </w:rPr>
            </w:pPr>
            <w:r>
              <w:rPr>
                <w:b/>
                <w:bCs/>
                <w:color w:val="auto"/>
                <w:sz w:val="20"/>
                <w:szCs w:val="20"/>
              </w:rPr>
              <w:t>单个道具得分</w:t>
            </w:r>
          </w:p>
        </w:tc>
        <w:tc>
          <w:tcPr>
            <w:tcW w:w="1543" w:type="dxa"/>
            <w:vAlign w:val="center"/>
          </w:tcPr>
          <w:p>
            <w:pPr>
              <w:pStyle w:val="30"/>
              <w:ind w:firstLine="0"/>
              <w:jc w:val="center"/>
              <w:rPr>
                <w:b/>
                <w:bCs/>
                <w:color w:val="auto"/>
                <w:sz w:val="20"/>
                <w:szCs w:val="20"/>
              </w:rPr>
            </w:pPr>
            <w:r>
              <w:rPr>
                <w:b/>
                <w:bCs/>
                <w:color w:val="auto"/>
                <w:sz w:val="20"/>
                <w:szCs w:val="20"/>
              </w:rPr>
              <w:t>理论最高分值</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jc w:val="center"/>
        </w:trPr>
        <w:tc>
          <w:tcPr>
            <w:tcW w:w="2768" w:type="dxa"/>
            <w:vAlign w:val="center"/>
          </w:tcPr>
          <w:p>
            <w:pPr>
              <w:pStyle w:val="30"/>
              <w:ind w:firstLine="0"/>
              <w:rPr>
                <w:b/>
                <w:bCs/>
                <w:color w:val="auto"/>
                <w:sz w:val="20"/>
                <w:szCs w:val="20"/>
              </w:rPr>
            </w:pPr>
            <w:r>
              <w:rPr>
                <w:rFonts w:ascii="Arial" w:hAnsi="Arial" w:cs="Arial"/>
                <w:color w:val="000000"/>
                <w:sz w:val="20"/>
                <w:szCs w:val="20"/>
              </w:rPr>
              <w:t xml:space="preserve">M07 </w:t>
            </w:r>
            <w:r>
              <w:rPr>
                <w:rFonts w:hint="eastAsia" w:ascii="Arial" w:hAnsi="Arial" w:cs="Arial"/>
                <w:color w:val="000000"/>
                <w:sz w:val="20"/>
                <w:szCs w:val="20"/>
              </w:rPr>
              <w:t>点燃反物质燃料棒</w:t>
            </w:r>
          </w:p>
        </w:tc>
        <w:tc>
          <w:tcPr>
            <w:tcW w:w="2935" w:type="dxa"/>
            <w:vAlign w:val="center"/>
          </w:tcPr>
          <w:p>
            <w:pPr>
              <w:pStyle w:val="30"/>
              <w:ind w:firstLine="0"/>
              <w:jc w:val="center"/>
              <w:rPr>
                <w:color w:val="auto"/>
                <w:sz w:val="20"/>
                <w:szCs w:val="20"/>
              </w:rPr>
            </w:pPr>
            <w:r>
              <w:rPr>
                <w:rFonts w:hint="eastAsia"/>
                <w:color w:val="auto"/>
                <w:sz w:val="20"/>
                <w:szCs w:val="20"/>
              </w:rPr>
              <w:t>符合得分判定的解码转筒装置</w:t>
            </w:r>
          </w:p>
        </w:tc>
        <w:tc>
          <w:tcPr>
            <w:tcW w:w="1259" w:type="dxa"/>
            <w:vAlign w:val="center"/>
          </w:tcPr>
          <w:p>
            <w:pPr>
              <w:pStyle w:val="30"/>
              <w:ind w:firstLine="0"/>
              <w:jc w:val="center"/>
              <w:rPr>
                <w:color w:val="auto"/>
                <w:sz w:val="20"/>
                <w:szCs w:val="20"/>
              </w:rPr>
            </w:pPr>
            <w:r>
              <w:rPr>
                <w:color w:val="auto"/>
                <w:sz w:val="20"/>
                <w:szCs w:val="20"/>
              </w:rPr>
              <w:t>30分/个</w:t>
            </w:r>
          </w:p>
        </w:tc>
        <w:tc>
          <w:tcPr>
            <w:tcW w:w="1543" w:type="dxa"/>
            <w:vAlign w:val="center"/>
          </w:tcPr>
          <w:p>
            <w:pPr>
              <w:pStyle w:val="30"/>
              <w:ind w:firstLine="0"/>
              <w:jc w:val="center"/>
              <w:rPr>
                <w:color w:val="auto"/>
                <w:sz w:val="20"/>
                <w:szCs w:val="20"/>
              </w:rPr>
            </w:pPr>
            <w:r>
              <w:rPr>
                <w:color w:val="auto"/>
                <w:sz w:val="20"/>
                <w:szCs w:val="20"/>
              </w:rPr>
              <w:t>90分</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jc w:val="center"/>
        </w:trPr>
        <w:tc>
          <w:tcPr>
            <w:tcW w:w="2768" w:type="dxa"/>
            <w:vAlign w:val="center"/>
          </w:tcPr>
          <w:p>
            <w:pPr>
              <w:pStyle w:val="30"/>
              <w:ind w:firstLine="0"/>
              <w:rPr>
                <w:b/>
                <w:bCs/>
                <w:color w:val="auto"/>
                <w:sz w:val="20"/>
                <w:szCs w:val="20"/>
              </w:rPr>
            </w:pPr>
            <w:r>
              <w:rPr>
                <w:rFonts w:ascii="Arial" w:hAnsi="Arial" w:cs="Arial"/>
                <w:color w:val="000000"/>
                <w:sz w:val="20"/>
                <w:szCs w:val="20"/>
              </w:rPr>
              <w:t xml:space="preserve">M08 </w:t>
            </w:r>
            <w:r>
              <w:rPr>
                <w:rFonts w:hint="eastAsia" w:ascii="Arial" w:hAnsi="Arial" w:cs="Arial"/>
                <w:color w:val="000000"/>
                <w:sz w:val="20"/>
                <w:szCs w:val="20"/>
              </w:rPr>
              <w:t>运转矩阵研究站</w:t>
            </w:r>
          </w:p>
        </w:tc>
        <w:tc>
          <w:tcPr>
            <w:tcW w:w="2935" w:type="dxa"/>
            <w:vAlign w:val="center"/>
          </w:tcPr>
          <w:p>
            <w:pPr>
              <w:pStyle w:val="30"/>
              <w:numPr>
                <w:ilvl w:val="0"/>
                <w:numId w:val="13"/>
              </w:numPr>
              <w:jc w:val="left"/>
              <w:rPr>
                <w:color w:val="auto"/>
                <w:sz w:val="20"/>
                <w:szCs w:val="20"/>
              </w:rPr>
            </w:pPr>
            <w:r>
              <w:rPr>
                <w:rFonts w:hint="eastAsia"/>
                <w:color w:val="auto"/>
                <w:sz w:val="20"/>
                <w:szCs w:val="20"/>
              </w:rPr>
              <w:t>符合得分判定的红蓝字母方块</w:t>
            </w:r>
          </w:p>
          <w:p>
            <w:pPr>
              <w:pStyle w:val="30"/>
              <w:numPr>
                <w:ilvl w:val="0"/>
                <w:numId w:val="13"/>
              </w:numPr>
              <w:jc w:val="left"/>
              <w:rPr>
                <w:color w:val="auto"/>
                <w:sz w:val="20"/>
                <w:szCs w:val="20"/>
              </w:rPr>
            </w:pPr>
            <w:r>
              <w:rPr>
                <w:rFonts w:hint="eastAsia"/>
                <w:color w:val="auto"/>
                <w:sz w:val="20"/>
                <w:szCs w:val="20"/>
              </w:rPr>
              <w:t>完成两个“</w:t>
            </w:r>
            <w:r>
              <w:rPr>
                <w:color w:val="auto"/>
                <w:sz w:val="20"/>
                <w:szCs w:val="20"/>
              </w:rPr>
              <w:t>MAKEX</w:t>
            </w:r>
            <w:r>
              <w:rPr>
                <w:rFonts w:hint="eastAsia"/>
                <w:color w:val="auto"/>
                <w:sz w:val="20"/>
                <w:szCs w:val="20"/>
              </w:rPr>
              <w:t>”</w:t>
            </w:r>
            <w:r>
              <w:rPr>
                <w:color w:val="auto"/>
                <w:sz w:val="20"/>
                <w:szCs w:val="20"/>
              </w:rPr>
              <w:t>排列</w:t>
            </w:r>
          </w:p>
        </w:tc>
        <w:tc>
          <w:tcPr>
            <w:tcW w:w="1259" w:type="dxa"/>
            <w:vAlign w:val="center"/>
          </w:tcPr>
          <w:p>
            <w:pPr>
              <w:pStyle w:val="30"/>
              <w:numPr>
                <w:ilvl w:val="0"/>
                <w:numId w:val="12"/>
              </w:numPr>
              <w:jc w:val="left"/>
              <w:rPr>
                <w:color w:val="auto"/>
                <w:sz w:val="20"/>
                <w:szCs w:val="20"/>
              </w:rPr>
            </w:pPr>
            <w:r>
              <w:rPr>
                <w:color w:val="auto"/>
                <w:sz w:val="20"/>
                <w:szCs w:val="20"/>
              </w:rPr>
              <w:t>20</w:t>
            </w:r>
            <w:r>
              <w:rPr>
                <w:rFonts w:hint="eastAsia"/>
                <w:color w:val="auto"/>
                <w:sz w:val="20"/>
                <w:szCs w:val="20"/>
              </w:rPr>
              <w:t>分/个</w:t>
            </w:r>
          </w:p>
          <w:p>
            <w:pPr>
              <w:pStyle w:val="30"/>
              <w:numPr>
                <w:ilvl w:val="0"/>
                <w:numId w:val="12"/>
              </w:numPr>
              <w:jc w:val="left"/>
              <w:rPr>
                <w:color w:val="auto"/>
                <w:sz w:val="20"/>
                <w:szCs w:val="20"/>
              </w:rPr>
            </w:pPr>
            <w:r>
              <w:rPr>
                <w:color w:val="auto"/>
                <w:sz w:val="20"/>
                <w:szCs w:val="20"/>
              </w:rPr>
              <w:t>50</w:t>
            </w:r>
            <w:r>
              <w:rPr>
                <w:rFonts w:hint="eastAsia"/>
                <w:color w:val="auto"/>
                <w:sz w:val="20"/>
                <w:szCs w:val="20"/>
              </w:rPr>
              <w:t>分/组</w:t>
            </w:r>
          </w:p>
        </w:tc>
        <w:tc>
          <w:tcPr>
            <w:tcW w:w="1543" w:type="dxa"/>
            <w:vAlign w:val="center"/>
          </w:tcPr>
          <w:p>
            <w:pPr>
              <w:pStyle w:val="30"/>
              <w:numPr>
                <w:ilvl w:val="0"/>
                <w:numId w:val="12"/>
              </w:numPr>
              <w:jc w:val="center"/>
              <w:rPr>
                <w:color w:val="auto"/>
                <w:sz w:val="20"/>
                <w:szCs w:val="20"/>
              </w:rPr>
            </w:pPr>
            <w:r>
              <w:rPr>
                <w:color w:val="auto"/>
                <w:sz w:val="20"/>
                <w:szCs w:val="20"/>
              </w:rPr>
              <w:t>180</w:t>
            </w:r>
            <w:r>
              <w:rPr>
                <w:rFonts w:hint="eastAsia"/>
                <w:color w:val="auto"/>
                <w:sz w:val="20"/>
                <w:szCs w:val="20"/>
              </w:rPr>
              <w:t>分</w:t>
            </w:r>
          </w:p>
          <w:p>
            <w:pPr>
              <w:pStyle w:val="30"/>
              <w:numPr>
                <w:ilvl w:val="0"/>
                <w:numId w:val="12"/>
              </w:numPr>
              <w:jc w:val="center"/>
              <w:rPr>
                <w:color w:val="auto"/>
                <w:sz w:val="20"/>
                <w:szCs w:val="20"/>
              </w:rPr>
            </w:pPr>
            <w:r>
              <w:rPr>
                <w:color w:val="auto"/>
                <w:sz w:val="20"/>
                <w:szCs w:val="20"/>
              </w:rPr>
              <w:t>100</w:t>
            </w:r>
            <w:r>
              <w:rPr>
                <w:rFonts w:hint="eastAsia"/>
                <w:color w:val="auto"/>
                <w:sz w:val="20"/>
                <w:szCs w:val="20"/>
              </w:rPr>
              <w:t>分</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jc w:val="center"/>
        </w:trPr>
        <w:tc>
          <w:tcPr>
            <w:tcW w:w="2768" w:type="dxa"/>
            <w:vAlign w:val="center"/>
          </w:tcPr>
          <w:p>
            <w:pPr>
              <w:pStyle w:val="30"/>
              <w:ind w:firstLine="0"/>
              <w:rPr>
                <w:b/>
                <w:bCs/>
                <w:color w:val="auto"/>
                <w:sz w:val="20"/>
                <w:szCs w:val="20"/>
              </w:rPr>
            </w:pPr>
            <w:r>
              <w:rPr>
                <w:rFonts w:ascii="Arial" w:hAnsi="Arial" w:cs="Arial"/>
                <w:color w:val="000000"/>
                <w:sz w:val="20"/>
                <w:szCs w:val="20"/>
              </w:rPr>
              <w:t xml:space="preserve">M09 </w:t>
            </w:r>
            <w:r>
              <w:rPr>
                <w:rFonts w:hint="eastAsia" w:ascii="Arial" w:hAnsi="Arial" w:cs="Arial"/>
                <w:color w:val="000000"/>
                <w:sz w:val="20"/>
                <w:szCs w:val="20"/>
              </w:rPr>
              <w:t>摆放战队标记物</w:t>
            </w:r>
          </w:p>
        </w:tc>
        <w:tc>
          <w:tcPr>
            <w:tcW w:w="2935" w:type="dxa"/>
            <w:vAlign w:val="center"/>
          </w:tcPr>
          <w:p>
            <w:pPr>
              <w:pStyle w:val="30"/>
              <w:ind w:firstLine="0"/>
              <w:jc w:val="center"/>
              <w:rPr>
                <w:color w:val="auto"/>
                <w:sz w:val="20"/>
                <w:szCs w:val="20"/>
              </w:rPr>
            </w:pPr>
            <w:r>
              <w:rPr>
                <w:color w:val="auto"/>
                <w:sz w:val="20"/>
                <w:szCs w:val="20"/>
              </w:rPr>
              <w:t>符合规范的自制道具</w:t>
            </w:r>
          </w:p>
        </w:tc>
        <w:tc>
          <w:tcPr>
            <w:tcW w:w="1259" w:type="dxa"/>
            <w:vAlign w:val="center"/>
          </w:tcPr>
          <w:p>
            <w:pPr>
              <w:pStyle w:val="30"/>
              <w:ind w:firstLine="0"/>
              <w:jc w:val="center"/>
              <w:rPr>
                <w:color w:val="auto"/>
                <w:sz w:val="20"/>
                <w:szCs w:val="20"/>
              </w:rPr>
            </w:pPr>
            <w:r>
              <w:rPr>
                <w:color w:val="auto"/>
                <w:sz w:val="20"/>
                <w:szCs w:val="20"/>
              </w:rPr>
              <w:t>30分/个</w:t>
            </w:r>
          </w:p>
        </w:tc>
        <w:tc>
          <w:tcPr>
            <w:tcW w:w="1543" w:type="dxa"/>
            <w:vAlign w:val="center"/>
          </w:tcPr>
          <w:p>
            <w:pPr>
              <w:pStyle w:val="30"/>
              <w:ind w:firstLine="0"/>
              <w:jc w:val="center"/>
              <w:rPr>
                <w:color w:val="auto"/>
                <w:sz w:val="20"/>
                <w:szCs w:val="20"/>
              </w:rPr>
            </w:pPr>
            <w:r>
              <w:rPr>
                <w:color w:val="auto"/>
                <w:sz w:val="20"/>
                <w:szCs w:val="20"/>
              </w:rPr>
              <w:t>60</w:t>
            </w:r>
            <w:r>
              <w:rPr>
                <w:rFonts w:hint="eastAsia"/>
                <w:color w:val="auto"/>
                <w:sz w:val="20"/>
                <w:szCs w:val="20"/>
              </w:rPr>
              <w:t>分</w:t>
            </w:r>
          </w:p>
        </w:tc>
      </w:tr>
    </w:tbl>
    <w:p>
      <w:pPr>
        <w:spacing w:before="156" w:beforeLines="50" w:line="420" w:lineRule="exact"/>
        <w:ind w:firstLine="480" w:firstLineChars="200"/>
        <w:rPr>
          <w:sz w:val="24"/>
        </w:rPr>
      </w:pPr>
      <w:r>
        <w:rPr>
          <w:rFonts w:hint="eastAsia"/>
          <w:sz w:val="24"/>
        </w:rPr>
        <w:t>单场比赛结束后，裁判将确认战队单场得分，每支战队单场得分由三部分构成：独立任务得分、联盟任务得分与违例扣分。单场得分将用于计算资格排位赛排名或冠军争夺战排名。</w:t>
      </w:r>
    </w:p>
    <w:p>
      <w:pPr>
        <w:pStyle w:val="63"/>
      </w:pPr>
      <w:r>
        <w:rPr>
          <w:rFonts w:hint="eastAsia"/>
        </w:rPr>
        <w:t>资格排位赛计分方式</w:t>
      </w:r>
    </w:p>
    <w:p>
      <w:pPr>
        <w:spacing w:line="420" w:lineRule="exact"/>
        <w:ind w:firstLine="480" w:firstLineChars="200"/>
        <w:rPr>
          <w:sz w:val="24"/>
        </w:rPr>
      </w:pPr>
      <w:r>
        <w:rPr>
          <w:rFonts w:hint="eastAsia"/>
          <w:sz w:val="24"/>
        </w:rPr>
        <w:t>资格排位赛单场得分：本方独立任务得分</w:t>
      </w:r>
      <w:r>
        <w:rPr>
          <w:sz w:val="24"/>
        </w:rPr>
        <w:t>+联盟任务得分-本方违例扣分</w:t>
      </w:r>
    </w:p>
    <w:p>
      <w:pPr>
        <w:spacing w:line="420" w:lineRule="exact"/>
        <w:ind w:firstLine="480" w:firstLineChars="200"/>
        <w:rPr>
          <w:sz w:val="24"/>
        </w:rPr>
      </w:pPr>
      <w:r>
        <w:rPr>
          <w:rFonts w:hint="eastAsia"/>
          <w:sz w:val="24"/>
        </w:rPr>
        <w:t>资格排位赛单场最高分：</w:t>
      </w:r>
      <w:r>
        <w:rPr>
          <w:sz w:val="24"/>
        </w:rPr>
        <w:t>210分+430分-0分=640分</w:t>
      </w:r>
    </w:p>
    <w:p>
      <w:pPr>
        <w:pStyle w:val="63"/>
      </w:pPr>
      <w:r>
        <w:rPr>
          <w:rFonts w:hint="eastAsia"/>
        </w:rPr>
        <w:t>冠军争夺战计分方式</w:t>
      </w:r>
    </w:p>
    <w:p>
      <w:pPr>
        <w:spacing w:line="420" w:lineRule="exact"/>
        <w:ind w:firstLine="480" w:firstLineChars="200"/>
        <w:rPr>
          <w:sz w:val="24"/>
        </w:rPr>
      </w:pPr>
      <w:r>
        <w:rPr>
          <w:rFonts w:hint="eastAsia"/>
          <w:sz w:val="24"/>
        </w:rPr>
        <w:t>冠军争夺战单场得分：红方独立任务得分</w:t>
      </w:r>
      <w:r>
        <w:rPr>
          <w:sz w:val="24"/>
        </w:rPr>
        <w:t>+蓝方独立任务得分+联盟任务得分-双方违例扣分</w:t>
      </w:r>
    </w:p>
    <w:p>
      <w:pPr>
        <w:spacing w:line="420" w:lineRule="exact"/>
        <w:ind w:firstLine="480" w:firstLineChars="200"/>
        <w:rPr>
          <w:sz w:val="24"/>
        </w:rPr>
      </w:pPr>
      <w:r>
        <w:rPr>
          <w:rFonts w:hint="eastAsia"/>
          <w:sz w:val="24"/>
        </w:rPr>
        <w:t>冠军争夺战单场最高分：</w:t>
      </w:r>
      <w:r>
        <w:rPr>
          <w:sz w:val="24"/>
        </w:rPr>
        <w:t>210分+210分+430分-0分=850分</w:t>
      </w:r>
    </w:p>
    <w:p>
      <w:pPr>
        <w:pStyle w:val="33"/>
        <w:spacing w:line="420" w:lineRule="exact"/>
      </w:pPr>
      <w:bookmarkStart w:id="14" w:name="_Toc149299887"/>
      <w:r>
        <w:rPr>
          <w:rFonts w:hint="eastAsia"/>
        </w:rPr>
        <w:t>单场比赛流程</w:t>
      </w:r>
      <w:bookmarkEnd w:id="14"/>
    </w:p>
    <w:p>
      <w:pPr>
        <w:pStyle w:val="30"/>
        <w:rPr>
          <w:lang w:val="en-GB"/>
        </w:rPr>
      </w:pPr>
      <w:r>
        <w:drawing>
          <wp:anchor distT="0" distB="0" distL="114300" distR="114300" simplePos="0" relativeHeight="251669504" behindDoc="0" locked="0" layoutInCell="1" allowOverlap="1">
            <wp:simplePos x="0" y="0"/>
            <wp:positionH relativeFrom="margin">
              <wp:align>center</wp:align>
            </wp:positionH>
            <wp:positionV relativeFrom="paragraph">
              <wp:posOffset>318770</wp:posOffset>
            </wp:positionV>
            <wp:extent cx="6424295" cy="514350"/>
            <wp:effectExtent l="0" t="0" r="0" b="0"/>
            <wp:wrapTopAndBottom/>
            <wp:docPr id="9" name="Draw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Drawing 2"/>
                    <pic:cNvPicPr>
                      <a:picLocks noChangeAspect="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424328" cy="514350"/>
                    </a:xfrm>
                    <a:prstGeom prst="rect">
                      <a:avLst/>
                    </a:prstGeom>
                  </pic:spPr>
                </pic:pic>
              </a:graphicData>
            </a:graphic>
          </wp:anchor>
        </w:drawing>
      </w:r>
      <w:r>
        <w:rPr>
          <w:rFonts w:hint="eastAsia"/>
          <w:lang w:val="en-GB"/>
        </w:rPr>
        <w:t>比赛时间共计</w:t>
      </w:r>
      <w:r>
        <w:rPr>
          <w:lang w:val="en-GB"/>
        </w:rPr>
        <w:t xml:space="preserve"> 240 秒。对于任意战队，其比赛阶段及切换时间如下：</w:t>
      </w:r>
    </w:p>
    <w:p>
      <w:pPr>
        <w:pStyle w:val="63"/>
      </w:pPr>
      <w:r>
        <w:rPr>
          <w:rFonts w:hint="eastAsia"/>
        </w:rPr>
        <w:t>到场准备</w:t>
      </w:r>
    </w:p>
    <w:p>
      <w:pPr>
        <w:pStyle w:val="30"/>
        <w:rPr>
          <w:lang w:val="en-GB"/>
        </w:rPr>
      </w:pPr>
      <w:r>
        <w:rPr>
          <w:rFonts w:hint="eastAsia"/>
          <w:lang w:val="en-GB"/>
        </w:rPr>
        <w:t>单场比赛开始前，选手应按照赛程时间提前抵达场地，并在裁判的引导下做好以下准备：</w:t>
      </w:r>
    </w:p>
    <w:p>
      <w:pPr>
        <w:pStyle w:val="30"/>
        <w:rPr>
          <w:lang w:val="en-GB"/>
        </w:rPr>
      </w:pPr>
      <w:r>
        <w:rPr>
          <w:rFonts w:hint="eastAsia"/>
          <w:lang w:val="en-GB"/>
        </w:rPr>
        <w:t>（1）</w:t>
      </w:r>
      <w:r>
        <w:rPr>
          <w:lang w:val="en-GB"/>
        </w:rPr>
        <w:t>将机器人电源保持开启状态，完全放在本方自动任务区的启动区内，蓝牙手柄保持开启状态，放在手动任务区的启动区内</w:t>
      </w:r>
      <w:r>
        <w:rPr>
          <w:rFonts w:hint="eastAsia"/>
          <w:lang w:val="en-GB"/>
        </w:rPr>
        <w:t>或场地边框外</w:t>
      </w:r>
      <w:r>
        <w:rPr>
          <w:lang w:val="en-GB"/>
        </w:rPr>
        <w:t>，战队标记物放置于手动任务区</w:t>
      </w:r>
      <w:r>
        <w:rPr>
          <w:rFonts w:hint="eastAsia"/>
          <w:lang w:val="en-GB"/>
        </w:rPr>
        <w:t>的手动装载两侧的方形区域内</w:t>
      </w:r>
      <w:r>
        <w:rPr>
          <w:lang w:val="en-GB"/>
        </w:rPr>
        <w:t>；</w:t>
      </w:r>
    </w:p>
    <w:p>
      <w:pPr>
        <w:pStyle w:val="30"/>
        <w:rPr>
          <w:lang w:val="en-GB"/>
        </w:rPr>
      </w:pPr>
      <w:r>
        <w:rPr>
          <w:rFonts w:hint="eastAsia"/>
          <w:lang w:val="en-GB"/>
        </w:rPr>
        <w:t>（2）</w:t>
      </w:r>
      <w:r>
        <w:rPr>
          <w:lang w:val="en-GB"/>
        </w:rPr>
        <w:t>选出一名</w:t>
      </w:r>
      <w:r>
        <w:rPr>
          <w:rFonts w:hint="eastAsia"/>
          <w:lang w:val="en-GB"/>
        </w:rPr>
        <w:t>战队代表</w:t>
      </w:r>
      <w:r>
        <w:rPr>
          <w:lang w:val="en-GB"/>
        </w:rPr>
        <w:t>抽取道具卡，并按照道具卡摆放M01</w:t>
      </w:r>
      <w:r>
        <w:rPr>
          <w:rFonts w:hint="eastAsia"/>
          <w:lang w:val="en-GB"/>
        </w:rPr>
        <w:t>、M</w:t>
      </w:r>
      <w:r>
        <w:rPr>
          <w:lang w:val="en-GB"/>
        </w:rPr>
        <w:t>04</w:t>
      </w:r>
      <w:r>
        <w:rPr>
          <w:rFonts w:hint="eastAsia"/>
          <w:lang w:val="en-GB"/>
        </w:rPr>
        <w:t>、</w:t>
      </w:r>
      <w:r>
        <w:rPr>
          <w:lang w:val="en-GB"/>
        </w:rPr>
        <w:t>M06</w:t>
      </w:r>
      <w:r>
        <w:rPr>
          <w:rFonts w:hint="eastAsia"/>
          <w:lang w:val="en-GB"/>
        </w:rPr>
        <w:t>与M</w:t>
      </w:r>
      <w:r>
        <w:rPr>
          <w:lang w:val="en-GB"/>
        </w:rPr>
        <w:t>07任务道具位置；</w:t>
      </w:r>
    </w:p>
    <w:p>
      <w:pPr>
        <w:pStyle w:val="30"/>
        <w:rPr>
          <w:lang w:val="en-GB"/>
        </w:rPr>
      </w:pPr>
      <w:r>
        <w:rPr>
          <w:rFonts w:hint="eastAsia"/>
          <w:lang w:val="en-GB"/>
        </w:rPr>
        <w:t>（3）</w:t>
      </w:r>
      <w:r>
        <w:rPr>
          <w:lang w:val="en-GB"/>
        </w:rPr>
        <w:t>检查场地和道具摆放是否规范；</w:t>
      </w:r>
    </w:p>
    <w:p>
      <w:pPr>
        <w:pStyle w:val="30"/>
        <w:rPr>
          <w:lang w:val="en-GB"/>
        </w:rPr>
      </w:pPr>
      <w:r>
        <w:rPr>
          <w:rFonts w:hint="eastAsia"/>
          <w:lang w:val="en-GB"/>
        </w:rPr>
        <w:t>（4）</w:t>
      </w:r>
      <w:r>
        <w:rPr>
          <w:lang w:val="en-GB"/>
        </w:rPr>
        <w:t>等待裁判指令。</w:t>
      </w:r>
    </w:p>
    <w:p>
      <w:pPr>
        <w:pStyle w:val="63"/>
      </w:pPr>
      <w:r>
        <w:rPr>
          <w:rFonts w:hint="eastAsia"/>
        </w:rPr>
        <w:t>自动控制阶段</w:t>
      </w:r>
    </w:p>
    <w:p>
      <w:pPr>
        <w:pStyle w:val="30"/>
        <w:rPr>
          <w:lang w:val="en-GB"/>
        </w:rPr>
      </w:pPr>
      <w:r>
        <w:rPr>
          <w:rFonts w:hint="eastAsia"/>
          <w:lang w:val="en-GB"/>
        </w:rPr>
        <w:t>裁判倒计时结束</w:t>
      </w:r>
      <w:r>
        <w:rPr>
          <w:lang w:val="en-GB"/>
        </w:rPr>
        <w:t>后，自动控制阶段计时开始：</w:t>
      </w:r>
    </w:p>
    <w:p>
      <w:pPr>
        <w:pStyle w:val="30"/>
        <w:rPr>
          <w:lang w:val="en-GB"/>
        </w:rPr>
      </w:pPr>
      <w:r>
        <w:rPr>
          <w:rFonts w:hint="eastAsia"/>
          <w:lang w:val="en-GB"/>
        </w:rPr>
        <w:t>（1）</w:t>
      </w:r>
      <w:r>
        <w:rPr>
          <w:lang w:val="en-GB"/>
        </w:rPr>
        <w:t>自动阶段开始后，机器人通过运行自动程序在自动任务区内完成相应的任务，期间选手可以</w:t>
      </w:r>
      <w:r>
        <w:rPr>
          <w:rFonts w:hint="eastAsia"/>
          <w:lang w:val="en-GB"/>
        </w:rPr>
        <w:t>随时</w:t>
      </w:r>
      <w:r>
        <w:rPr>
          <w:lang w:val="en-GB"/>
        </w:rPr>
        <w:t>向裁判发起重启</w:t>
      </w:r>
      <w:r>
        <w:rPr>
          <w:rFonts w:hint="eastAsia"/>
          <w:lang w:val="en-GB"/>
        </w:rPr>
        <w:t>或改装</w:t>
      </w:r>
      <w:r>
        <w:rPr>
          <w:lang w:val="en-GB"/>
        </w:rPr>
        <w:t>请求。</w:t>
      </w:r>
    </w:p>
    <w:p>
      <w:pPr>
        <w:pStyle w:val="30"/>
        <w:rPr>
          <w:lang w:val="en-GB"/>
        </w:rPr>
      </w:pPr>
      <w:r>
        <w:rPr>
          <w:rFonts w:hint="eastAsia"/>
          <w:lang w:val="en-GB"/>
        </w:rPr>
        <w:t>（2）</w:t>
      </w:r>
      <w:r>
        <w:rPr>
          <w:lang w:val="en-GB"/>
        </w:rPr>
        <w:t>自动阶段开始后，联盟可随时发起阶段切换申请，即比赛由自动控制阶段切换到手动控制阶段，进入手动任务区后机器人不可以再返回自动任务区。阶段切换申请有且只有一次机会，联盟双方对于阶段的切换须自行达成一致意见，并由</w:t>
      </w:r>
      <w:r>
        <w:rPr>
          <w:rFonts w:hint="eastAsia"/>
          <w:lang w:val="en-GB"/>
        </w:rPr>
        <w:t>战队代表</w:t>
      </w:r>
      <w:r>
        <w:rPr>
          <w:lang w:val="en-GB"/>
        </w:rPr>
        <w:t>发起，裁判同意后，</w:t>
      </w:r>
      <w:r>
        <w:rPr>
          <w:rFonts w:hint="eastAsia"/>
          <w:lang w:val="en-GB"/>
        </w:rPr>
        <w:t>进入到自动控制阶段的计分时刻</w:t>
      </w:r>
      <w:r>
        <w:rPr>
          <w:lang w:val="en-GB"/>
        </w:rPr>
        <w:t>。</w:t>
      </w:r>
    </w:p>
    <w:p>
      <w:pPr>
        <w:pStyle w:val="30"/>
        <w:rPr>
          <w:lang w:val="en-GB"/>
        </w:rPr>
      </w:pPr>
      <w:r>
        <w:rPr>
          <w:rFonts w:hint="eastAsia"/>
          <w:lang w:val="en-GB"/>
        </w:rPr>
        <w:t>（3）</w:t>
      </w:r>
      <w:r>
        <w:rPr>
          <w:lang w:val="en-GB"/>
        </w:rPr>
        <w:t>本阶段时长为 0~240 秒，具体时间取决于联盟发起的阶段切换申请。</w:t>
      </w:r>
    </w:p>
    <w:p>
      <w:pPr>
        <w:pStyle w:val="63"/>
      </w:pPr>
      <w:r>
        <w:rPr>
          <w:rFonts w:hint="eastAsia"/>
        </w:rPr>
        <w:t>自动控制阶段计分时刻</w:t>
      </w:r>
    </w:p>
    <w:p>
      <w:pPr>
        <w:pStyle w:val="30"/>
        <w:rPr>
          <w:lang w:val="en-GB"/>
        </w:rPr>
      </w:pPr>
      <w:r>
        <w:rPr>
          <w:rFonts w:hint="eastAsia"/>
          <w:lang w:val="en-GB"/>
        </w:rPr>
        <w:t>联盟发起阶段切换，裁判同意后，比赛将会暂停计时，进入自动控制阶段的计分时刻</w:t>
      </w:r>
      <w:r>
        <w:rPr>
          <w:lang w:val="en-GB"/>
        </w:rPr>
        <w:t>。</w:t>
      </w:r>
      <w:r>
        <w:rPr>
          <w:rFonts w:hint="eastAsia"/>
          <w:lang w:val="en-GB"/>
        </w:rPr>
        <w:t>在此期间，红蓝双方不许触碰机器人，机器人保持在申请切换时的状态，等待裁判计分完成。</w:t>
      </w:r>
    </w:p>
    <w:p>
      <w:pPr>
        <w:pStyle w:val="63"/>
      </w:pPr>
      <w:r>
        <w:rPr>
          <w:rFonts w:hint="eastAsia"/>
        </w:rPr>
        <w:t>手动控制阶段</w:t>
      </w:r>
    </w:p>
    <w:p>
      <w:pPr>
        <w:pStyle w:val="30"/>
        <w:rPr>
          <w:lang w:val="en-GB"/>
        </w:rPr>
      </w:pPr>
      <w:r>
        <w:rPr>
          <w:rFonts w:hint="eastAsia"/>
          <w:lang w:val="en-GB"/>
        </w:rPr>
        <w:t>自动控制阶段裁判计分完成，裁判员发出“转移机器人”的指令：</w:t>
      </w:r>
    </w:p>
    <w:p>
      <w:pPr>
        <w:pStyle w:val="30"/>
        <w:rPr>
          <w:lang w:val="en-GB"/>
        </w:rPr>
      </w:pPr>
      <w:r>
        <w:rPr>
          <w:rFonts w:hint="eastAsia"/>
          <w:lang w:val="en-GB"/>
        </w:rPr>
        <w:t>（1）</w:t>
      </w:r>
      <w:r>
        <w:rPr>
          <w:lang w:val="en-GB"/>
        </w:rPr>
        <w:t>站位调整：选手需按照</w:t>
      </w:r>
      <w:r>
        <w:rPr>
          <w:b/>
          <w:bCs/>
          <w:lang w:val="en-GB"/>
        </w:rPr>
        <w:t>“6.3操作</w:t>
      </w:r>
      <w:r>
        <w:rPr>
          <w:rFonts w:hint="eastAsia"/>
          <w:b/>
          <w:bCs/>
          <w:lang w:val="en-GB"/>
        </w:rPr>
        <w:t>规则</w:t>
      </w:r>
      <w:r>
        <w:rPr>
          <w:b/>
          <w:bCs/>
          <w:lang w:val="en-GB"/>
        </w:rPr>
        <w:t>”</w:t>
      </w:r>
      <w:r>
        <w:rPr>
          <w:lang w:val="en-GB"/>
        </w:rPr>
        <w:t>中的站位要求进行站位</w:t>
      </w:r>
      <w:r>
        <w:rPr>
          <w:rFonts w:hint="eastAsia"/>
          <w:lang w:val="en-GB"/>
        </w:rPr>
        <w:t>；</w:t>
      </w:r>
    </w:p>
    <w:p>
      <w:pPr>
        <w:pStyle w:val="30"/>
        <w:rPr>
          <w:lang w:val="en-GB"/>
        </w:rPr>
      </w:pPr>
      <w:r>
        <w:rPr>
          <w:rFonts w:hint="eastAsia"/>
          <w:lang w:val="en-GB"/>
        </w:rPr>
        <w:t>（2）机器人位置转移：红蓝双方需将自动任务区的机器人转移至手动任务区的启动区内（仅允许进行机器人放置）；</w:t>
      </w:r>
    </w:p>
    <w:p>
      <w:pPr>
        <w:pStyle w:val="30"/>
        <w:rPr>
          <w:lang w:val="en-GB"/>
        </w:rPr>
      </w:pPr>
      <w:r>
        <w:rPr>
          <w:rFonts w:hint="eastAsia"/>
          <w:lang w:val="en-GB"/>
        </w:rPr>
        <w:t>机器人放置完毕后，裁判将发出“手动控制阶段开始”的指令，手动控制阶段开始，联盟双方开始手动阶段的任务：</w:t>
      </w:r>
    </w:p>
    <w:p>
      <w:pPr>
        <w:pStyle w:val="30"/>
        <w:rPr>
          <w:lang w:val="en-GB"/>
        </w:rPr>
      </w:pPr>
      <w:r>
        <w:rPr>
          <w:rFonts w:hint="eastAsia"/>
          <w:lang w:val="en-GB"/>
        </w:rPr>
        <w:t>（3）</w:t>
      </w:r>
      <w:r>
        <w:rPr>
          <w:lang w:val="en-GB"/>
        </w:rPr>
        <w:t>手动控制阶段时，选手进行观察手和操作手的任务分工，并站在指定站位区完成相关任务，具体站位要求请参考</w:t>
      </w:r>
      <w:r>
        <w:rPr>
          <w:b/>
          <w:bCs/>
          <w:lang w:val="en-GB"/>
        </w:rPr>
        <w:t>“6.3操作</w:t>
      </w:r>
      <w:r>
        <w:rPr>
          <w:rFonts w:hint="eastAsia"/>
          <w:b/>
          <w:bCs/>
          <w:lang w:val="en-GB"/>
        </w:rPr>
        <w:t>规则</w:t>
      </w:r>
      <w:r>
        <w:rPr>
          <w:b/>
          <w:bCs/>
          <w:lang w:val="en-GB"/>
        </w:rPr>
        <w:t>”</w:t>
      </w:r>
      <w:r>
        <w:rPr>
          <w:lang w:val="en-GB"/>
        </w:rPr>
        <w:t>中关于参赛选手错误站位。在手动控制阶段，观察手和操作手可以向裁判申请换位，具体换位要求请参考</w:t>
      </w:r>
      <w:r>
        <w:rPr>
          <w:b/>
          <w:bCs/>
          <w:lang w:val="en-GB"/>
        </w:rPr>
        <w:t>“6.3操作</w:t>
      </w:r>
      <w:r>
        <w:rPr>
          <w:rFonts w:hint="eastAsia"/>
          <w:b/>
          <w:bCs/>
          <w:lang w:val="en-GB"/>
        </w:rPr>
        <w:t>规则</w:t>
      </w:r>
      <w:r>
        <w:rPr>
          <w:b/>
          <w:bCs/>
          <w:lang w:val="en-GB"/>
        </w:rPr>
        <w:t>”</w:t>
      </w:r>
      <w:r>
        <w:rPr>
          <w:lang w:val="en-GB"/>
        </w:rPr>
        <w:t>中关于参赛选手错误换位。</w:t>
      </w:r>
    </w:p>
    <w:p>
      <w:pPr>
        <w:pStyle w:val="30"/>
        <w:rPr>
          <w:lang w:val="en-GB"/>
        </w:rPr>
      </w:pPr>
      <w:r>
        <w:rPr>
          <w:rFonts w:hint="eastAsia"/>
          <w:lang w:val="en-GB"/>
        </w:rPr>
        <w:t>（</w:t>
      </w:r>
      <w:r>
        <w:rPr>
          <w:lang w:val="en-GB"/>
        </w:rPr>
        <w:t>4</w:t>
      </w:r>
      <w:r>
        <w:rPr>
          <w:rFonts w:hint="eastAsia"/>
          <w:lang w:val="en-GB"/>
        </w:rPr>
        <w:t>）</w:t>
      </w:r>
      <w:r>
        <w:rPr>
          <w:lang w:val="en-GB"/>
        </w:rPr>
        <w:t>若联盟在4分钟比赛时间未结束前，向裁判申请结束比赛，裁判许可后发出“比赛结束”指令并停止计时，则比赛提前结束；或在4分钟的比赛时间用完时，裁判将主动发出“比赛结束”指令，比赛结束。</w:t>
      </w:r>
    </w:p>
    <w:p>
      <w:pPr>
        <w:pStyle w:val="30"/>
        <w:rPr>
          <w:lang w:val="en-GB"/>
        </w:rPr>
      </w:pPr>
      <w:r>
        <w:rPr>
          <w:rFonts w:hint="eastAsia"/>
          <w:lang w:val="en-GB"/>
        </w:rPr>
        <w:t>比赛全程参赛队员可依照比赛规范对机器人进行重启、维修、改装，在此期间比赛时间不停止。除安全问题外，选手不得向裁判申请暂停比赛。</w:t>
      </w:r>
    </w:p>
    <w:p>
      <w:pPr>
        <w:pStyle w:val="63"/>
      </w:pPr>
      <w:r>
        <w:rPr>
          <w:rFonts w:hint="eastAsia"/>
        </w:rPr>
        <w:t>裁判计分及选手签字确认</w:t>
      </w:r>
    </w:p>
    <w:p>
      <w:pPr>
        <w:pStyle w:val="30"/>
        <w:rPr>
          <w:lang w:val="en-GB"/>
        </w:rPr>
      </w:pPr>
      <w:r>
        <w:rPr>
          <w:rFonts w:hint="eastAsia"/>
          <w:lang w:val="en-GB"/>
        </w:rPr>
        <w:t>比赛结束后，裁判会进行得分统计。如对比赛无异议，双方战队代表必须在成绩单上签字确认比赛结果。如对比赛结果存在异议，参赛战队无需签字，应在未签字确认成绩的前提下，立刻向当值裁判提出异议，积极沟通。</w:t>
      </w:r>
    </w:p>
    <w:p>
      <w:pPr>
        <w:pStyle w:val="30"/>
      </w:pPr>
      <w:bookmarkStart w:id="15" w:name="_Hlk80289722"/>
      <w:r>
        <w:rPr>
          <w:rFonts w:hint="eastAsia"/>
          <w:lang w:val="en-GB"/>
        </w:rPr>
        <w:t>签字确认后，参赛队员应主动协助裁判复原场地道具，并携带机器人和手柄有序离场。</w:t>
      </w:r>
    </w:p>
    <w:bookmarkEnd w:id="15"/>
    <w:p>
      <w:pPr>
        <w:pStyle w:val="36"/>
        <w:spacing w:line="240" w:lineRule="auto"/>
      </w:pPr>
      <w:bookmarkStart w:id="16" w:name="_Toc149299888"/>
      <w:r>
        <w:rPr>
          <w:rFonts w:hint="eastAsia"/>
        </w:rPr>
        <w:t>技术规范</w:t>
      </w:r>
      <w:bookmarkEnd w:id="16"/>
    </w:p>
    <w:p>
      <w:pPr>
        <w:pStyle w:val="33"/>
        <w:spacing w:line="420" w:lineRule="exact"/>
      </w:pPr>
      <w:bookmarkStart w:id="17" w:name="_Toc149299889"/>
      <w:r>
        <w:rPr>
          <w:rFonts w:hint="eastAsia"/>
        </w:rPr>
        <w:t>机器人制作规范</w:t>
      </w:r>
      <w:bookmarkEnd w:id="17"/>
    </w:p>
    <w:p>
      <w:pPr>
        <w:pStyle w:val="30"/>
        <w:rPr>
          <w:lang w:val="en-GB"/>
        </w:rPr>
      </w:pPr>
      <w:r>
        <w:rPr>
          <w:rFonts w:hint="eastAsia"/>
          <w:lang w:val="en-GB"/>
        </w:rPr>
        <w:t>机器人制作规范是指导各参赛战队更好的参赛备赛、公平公正且安全的竞赛标准规范。鼓励各参赛战队在充分阅读、理解该规范的前提下进行机器人的编程搭建。所有参赛战队的机器人必须严格遵守该制作规范，凡违背该规范要求的机器人将被要求整改，情节严重者将被判罚取消比赛成绩或取消比赛资格。</w:t>
      </w:r>
    </w:p>
    <w:p>
      <w:pPr>
        <w:pStyle w:val="63"/>
      </w:pPr>
      <w:r>
        <w:rPr>
          <w:rFonts w:hint="eastAsia"/>
        </w:rPr>
        <w:t>机器人机械规范</w:t>
      </w:r>
    </w:p>
    <w:p>
      <w:pPr>
        <w:pStyle w:val="48"/>
        <w:ind w:firstLine="480"/>
      </w:pPr>
      <w:r>
        <w:rPr>
          <w:rStyle w:val="64"/>
        </w:rPr>
        <w:t>每支参赛战队仅可使用同一台机器人进行赛前检录，检录通过后，该战队仅可使用通过检录的机器人进行比赛，严禁战队更换机器人，严禁战队使用未通过检录的机器人</w:t>
      </w:r>
      <w:r>
        <w:t>。</w:t>
      </w:r>
    </w:p>
    <w:p>
      <w:pPr>
        <w:pStyle w:val="48"/>
        <w:ind w:firstLine="480"/>
      </w:pPr>
      <w:r>
        <w:t>整场比赛过程中，主控、底盘、车轮、履带不可更换，其余零件可以更换。</w:t>
      </w:r>
    </w:p>
    <w:p>
      <w:pPr>
        <w:pStyle w:val="48"/>
        <w:ind w:firstLine="480"/>
      </w:pPr>
      <w:r>
        <w:t>整场比赛过程中，机器人的长、宽不得超过 280mm，高度不得超过 300mm。</w:t>
      </w:r>
      <w:r>
        <w:rPr>
          <w:rFonts w:hint="eastAsia"/>
        </w:rPr>
        <w:t>机器人使用车轮（包括橡胶胎皮）直径不得超过</w:t>
      </w:r>
      <w:r>
        <w:t>70</w:t>
      </w:r>
      <w:r>
        <w:rPr>
          <w:rFonts w:hint="eastAsia"/>
        </w:rPr>
        <w:t>mm。</w:t>
      </w:r>
    </w:p>
    <w:p>
      <w:pPr>
        <w:pStyle w:val="48"/>
        <w:numPr>
          <w:ilvl w:val="0"/>
          <w:numId w:val="0"/>
        </w:numPr>
        <w:ind w:left="1260"/>
      </w:pPr>
      <w:r>
        <w:t>a.机器人尺寸以最大伸展尺寸为准，检录时需展开所有活动结构（含改装后状态）至最大尺寸状态。</w:t>
      </w:r>
    </w:p>
    <w:p>
      <w:pPr>
        <w:pStyle w:val="48"/>
        <w:numPr>
          <w:ilvl w:val="0"/>
          <w:numId w:val="0"/>
        </w:numPr>
        <w:ind w:left="1260"/>
      </w:pPr>
      <w:r>
        <w:t>b.机器人完全展开后，任意部分不得超出长280mm*宽280mm*高300mm的立方体。</w:t>
      </w:r>
    </w:p>
    <w:p>
      <w:pPr>
        <w:pStyle w:val="30"/>
        <w:spacing w:after="156" w:afterLines="50"/>
        <w:ind w:firstLine="0"/>
        <w:jc w:val="center"/>
        <w:rPr>
          <w:bCs/>
        </w:rPr>
      </w:pPr>
      <w:r>
        <w:rPr>
          <w:rFonts w:hint="eastAsia"/>
          <w:b/>
          <w:color w:val="auto"/>
        </w:rPr>
        <w:drawing>
          <wp:anchor distT="0" distB="0" distL="114300" distR="114300" simplePos="0" relativeHeight="251667456" behindDoc="0" locked="0" layoutInCell="1" allowOverlap="1">
            <wp:simplePos x="0" y="0"/>
            <wp:positionH relativeFrom="margin">
              <wp:align>center</wp:align>
            </wp:positionH>
            <wp:positionV relativeFrom="paragraph">
              <wp:posOffset>3152775</wp:posOffset>
            </wp:positionV>
            <wp:extent cx="3762375" cy="2039620"/>
            <wp:effectExtent l="0" t="0" r="9525" b="0"/>
            <wp:wrapTopAndBottom/>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762375" cy="2039620"/>
                    </a:xfrm>
                    <a:prstGeom prst="rect">
                      <a:avLst/>
                    </a:prstGeom>
                  </pic:spPr>
                </pic:pic>
              </a:graphicData>
            </a:graphic>
          </wp:anchor>
        </w:drawing>
      </w:r>
      <w:r>
        <w:rPr>
          <w:bCs/>
        </w:rPr>
        <w:drawing>
          <wp:anchor distT="0" distB="0" distL="114300" distR="114300" simplePos="0" relativeHeight="251666432" behindDoc="0" locked="0" layoutInCell="1" allowOverlap="1">
            <wp:simplePos x="0" y="0"/>
            <wp:positionH relativeFrom="margin">
              <wp:align>center</wp:align>
            </wp:positionH>
            <wp:positionV relativeFrom="paragraph">
              <wp:posOffset>104775</wp:posOffset>
            </wp:positionV>
            <wp:extent cx="3162300" cy="2656840"/>
            <wp:effectExtent l="0" t="0" r="0" b="0"/>
            <wp:wrapTopAndBottom/>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3162300" cy="2656840"/>
                    </a:xfrm>
                    <a:prstGeom prst="rect">
                      <a:avLst/>
                    </a:prstGeom>
                  </pic:spPr>
                </pic:pic>
              </a:graphicData>
            </a:graphic>
          </wp:anchor>
        </w:drawing>
      </w:r>
      <w:r>
        <w:rPr>
          <w:rFonts w:hint="eastAsia"/>
          <w:bCs/>
        </w:rPr>
        <w:t>图</w:t>
      </w:r>
      <w:r>
        <w:rPr>
          <w:rFonts w:hint="eastAsia"/>
          <w:bCs/>
          <w:lang w:val="en-US" w:eastAsia="zh-CN"/>
        </w:rPr>
        <w:t>2</w:t>
      </w:r>
      <w:r>
        <w:rPr>
          <w:bCs/>
        </w:rPr>
        <w:t>.1-1</w:t>
      </w:r>
      <w:r>
        <w:rPr>
          <w:rFonts w:hint="eastAsia"/>
          <w:bCs/>
        </w:rPr>
        <w:t>最大延伸尺寸俯视图</w:t>
      </w:r>
    </w:p>
    <w:p>
      <w:pPr>
        <w:pStyle w:val="30"/>
        <w:spacing w:after="156" w:afterLines="50"/>
        <w:ind w:firstLine="0"/>
        <w:jc w:val="center"/>
        <w:rPr>
          <w:bCs/>
        </w:rPr>
      </w:pPr>
      <w:r>
        <w:rPr>
          <w:rFonts w:hint="eastAsia"/>
          <w:bCs/>
        </w:rPr>
        <w:t>图</w:t>
      </w:r>
      <w:r>
        <w:rPr>
          <w:rFonts w:hint="eastAsia"/>
          <w:bCs/>
          <w:lang w:val="en-US" w:eastAsia="zh-CN"/>
        </w:rPr>
        <w:t>2</w:t>
      </w:r>
      <w:r>
        <w:rPr>
          <w:bCs/>
        </w:rPr>
        <w:t>.1-2</w:t>
      </w:r>
      <w:r>
        <w:rPr>
          <w:rFonts w:hint="eastAsia"/>
          <w:bCs/>
        </w:rPr>
        <w:t>最大延伸尺寸侧视图</w:t>
      </w:r>
    </w:p>
    <w:p>
      <w:pPr>
        <w:pStyle w:val="30"/>
        <w:spacing w:after="156" w:afterLines="50"/>
        <w:ind w:firstLine="0"/>
        <w:jc w:val="center"/>
        <w:rPr>
          <w:bCs/>
        </w:rPr>
      </w:pPr>
      <w:r>
        <w:rPr>
          <w:bCs/>
        </w:rPr>
        <w:drawing>
          <wp:anchor distT="0" distB="0" distL="114300" distR="114300" simplePos="0" relativeHeight="251668480" behindDoc="0" locked="0" layoutInCell="1" allowOverlap="1">
            <wp:simplePos x="0" y="0"/>
            <wp:positionH relativeFrom="margin">
              <wp:posOffset>1679575</wp:posOffset>
            </wp:positionH>
            <wp:positionV relativeFrom="paragraph">
              <wp:posOffset>82550</wp:posOffset>
            </wp:positionV>
            <wp:extent cx="2049145" cy="1842770"/>
            <wp:effectExtent l="0" t="0" r="0" b="0"/>
            <wp:wrapTopAndBottom/>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2049145" cy="1842801"/>
                    </a:xfrm>
                    <a:prstGeom prst="rect">
                      <a:avLst/>
                    </a:prstGeom>
                    <a:noFill/>
                    <a:ln>
                      <a:noFill/>
                    </a:ln>
                  </pic:spPr>
                </pic:pic>
              </a:graphicData>
            </a:graphic>
          </wp:anchor>
        </w:drawing>
      </w:r>
      <w:r>
        <w:rPr>
          <w:rFonts w:hint="eastAsia"/>
          <w:bCs/>
        </w:rPr>
        <w:t>图</w:t>
      </w:r>
      <w:r>
        <w:rPr>
          <w:rFonts w:hint="eastAsia"/>
          <w:bCs/>
          <w:lang w:val="en-US" w:eastAsia="zh-CN"/>
        </w:rPr>
        <w:t>2</w:t>
      </w:r>
      <w:r>
        <w:rPr>
          <w:bCs/>
        </w:rPr>
        <w:t>.1-3</w:t>
      </w:r>
      <w:r>
        <w:rPr>
          <w:rFonts w:hint="eastAsia"/>
          <w:bCs/>
        </w:rPr>
        <w:t>车轮尺寸示意图</w:t>
      </w:r>
    </w:p>
    <w:p>
      <w:pPr>
        <w:pStyle w:val="48"/>
        <w:ind w:firstLine="480"/>
      </w:pPr>
      <w:r>
        <w:t>在整个比赛过程中，机器人任意时刻最大净重量不超过2.5kg，包含电池</w:t>
      </w:r>
      <w:r>
        <w:rPr>
          <w:rFonts w:hint="eastAsia"/>
        </w:rPr>
        <w:t>以及所有改装结构件</w:t>
      </w:r>
      <w:r>
        <w:t>重量，不包含战队标记物重量。</w:t>
      </w:r>
    </w:p>
    <w:p>
      <w:pPr>
        <w:pStyle w:val="48"/>
        <w:ind w:firstLine="480"/>
      </w:pPr>
      <w:r>
        <w:t>参赛战队可自行制作机械零件，可以使用3D打印，激光切割等零件，不允许使用高集成度的完整商业产品，包括但不限于多自由度机械臂或机械手等。</w:t>
      </w:r>
    </w:p>
    <w:p>
      <w:pPr>
        <w:pStyle w:val="63"/>
      </w:pPr>
      <w:r>
        <w:rPr>
          <w:rFonts w:hint="eastAsia"/>
        </w:rPr>
        <w:t>机器人电子技术规范</w:t>
      </w:r>
    </w:p>
    <w:p>
      <w:pPr>
        <w:pStyle w:val="48"/>
        <w:spacing w:after="156" w:afterLines="50"/>
        <w:ind w:firstLine="480"/>
        <w:rPr>
          <w:b/>
        </w:rPr>
      </w:pPr>
      <w:r>
        <w:t>为确保比赛的公平性，防止战队使用部分高性能设备破坏比赛公平性，战队使用的器材性能不得超过以下指标：</w:t>
      </w:r>
    </w:p>
    <w:tbl>
      <w:tblPr>
        <w:tblStyle w:val="17"/>
        <w:tblW w:w="0" w:type="auto"/>
        <w:tblInd w:w="1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 w:type="dxa"/>
          <w:bottom w:w="0" w:type="dxa"/>
          <w:right w:w="10" w:type="dxa"/>
        </w:tblCellMar>
      </w:tblPr>
      <w:tblGrid>
        <w:gridCol w:w="1191"/>
        <w:gridCol w:w="1772"/>
        <w:gridCol w:w="3139"/>
        <w:gridCol w:w="2220"/>
      </w:tblGrid>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266" w:type="dxa"/>
            <w:vAlign w:val="center"/>
          </w:tcPr>
          <w:p>
            <w:pPr>
              <w:pStyle w:val="30"/>
              <w:ind w:firstLine="0"/>
              <w:jc w:val="center"/>
              <w:rPr>
                <w:b/>
                <w:bCs/>
                <w:color w:val="auto"/>
                <w:sz w:val="20"/>
                <w:szCs w:val="20"/>
              </w:rPr>
            </w:pPr>
            <w:r>
              <w:rPr>
                <w:b/>
                <w:bCs/>
                <w:color w:val="auto"/>
                <w:sz w:val="20"/>
                <w:szCs w:val="20"/>
              </w:rPr>
              <w:t>设备类型</w:t>
            </w:r>
          </w:p>
        </w:tc>
        <w:tc>
          <w:tcPr>
            <w:tcW w:w="1418" w:type="dxa"/>
            <w:vAlign w:val="center"/>
          </w:tcPr>
          <w:p>
            <w:pPr>
              <w:pStyle w:val="30"/>
              <w:ind w:firstLine="0"/>
              <w:jc w:val="center"/>
              <w:rPr>
                <w:b/>
                <w:bCs/>
                <w:color w:val="auto"/>
                <w:sz w:val="20"/>
                <w:szCs w:val="20"/>
              </w:rPr>
            </w:pPr>
            <w:r>
              <w:rPr>
                <w:b/>
                <w:bCs/>
                <w:color w:val="auto"/>
                <w:sz w:val="20"/>
                <w:szCs w:val="20"/>
              </w:rPr>
              <w:t>部件名称</w:t>
            </w:r>
          </w:p>
        </w:tc>
        <w:tc>
          <w:tcPr>
            <w:tcW w:w="3260" w:type="dxa"/>
            <w:vAlign w:val="center"/>
          </w:tcPr>
          <w:p>
            <w:pPr>
              <w:pStyle w:val="30"/>
              <w:ind w:firstLine="0"/>
              <w:jc w:val="center"/>
              <w:rPr>
                <w:b/>
                <w:bCs/>
                <w:color w:val="auto"/>
                <w:sz w:val="20"/>
                <w:szCs w:val="20"/>
              </w:rPr>
            </w:pPr>
            <w:r>
              <w:rPr>
                <w:b/>
                <w:bCs/>
                <w:color w:val="auto"/>
                <w:sz w:val="20"/>
                <w:szCs w:val="20"/>
              </w:rPr>
              <w:t>规格</w:t>
            </w:r>
          </w:p>
        </w:tc>
        <w:tc>
          <w:tcPr>
            <w:tcW w:w="2358" w:type="dxa"/>
            <w:vAlign w:val="center"/>
          </w:tcPr>
          <w:p>
            <w:pPr>
              <w:pStyle w:val="30"/>
              <w:ind w:firstLine="0"/>
              <w:jc w:val="center"/>
              <w:rPr>
                <w:b/>
                <w:bCs/>
                <w:color w:val="auto"/>
                <w:sz w:val="20"/>
                <w:szCs w:val="20"/>
              </w:rPr>
            </w:pPr>
            <w:r>
              <w:rPr>
                <w:b/>
                <w:bCs/>
                <w:color w:val="auto"/>
                <w:sz w:val="20"/>
                <w:szCs w:val="20"/>
              </w:rPr>
              <w:t>备注</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266" w:type="dxa"/>
            <w:vAlign w:val="center"/>
          </w:tcPr>
          <w:p>
            <w:pPr>
              <w:pStyle w:val="30"/>
              <w:ind w:firstLine="0"/>
              <w:jc w:val="center"/>
              <w:rPr>
                <w:b/>
                <w:bCs/>
                <w:color w:val="auto"/>
                <w:sz w:val="20"/>
                <w:szCs w:val="20"/>
              </w:rPr>
            </w:pPr>
            <w:r>
              <w:rPr>
                <w:b/>
                <w:bCs/>
                <w:color w:val="auto"/>
                <w:sz w:val="20"/>
                <w:szCs w:val="20"/>
              </w:rPr>
              <w:t>主控&amp;扩展板</w:t>
            </w:r>
          </w:p>
        </w:tc>
        <w:tc>
          <w:tcPr>
            <w:tcW w:w="1418" w:type="dxa"/>
            <w:vAlign w:val="center"/>
          </w:tcPr>
          <w:p>
            <w:pPr>
              <w:pStyle w:val="30"/>
              <w:ind w:firstLine="0"/>
              <w:jc w:val="center"/>
              <w:rPr>
                <w:color w:val="auto"/>
                <w:sz w:val="20"/>
                <w:szCs w:val="20"/>
              </w:rPr>
            </w:pPr>
            <w:r>
              <w:rPr>
                <w:color w:val="auto"/>
                <w:sz w:val="20"/>
                <w:szCs w:val="20"/>
              </w:rPr>
              <w:t>ESP32-WROVER-B</w:t>
            </w:r>
          </w:p>
        </w:tc>
        <w:tc>
          <w:tcPr>
            <w:tcW w:w="3260" w:type="dxa"/>
            <w:vAlign w:val="center"/>
          </w:tcPr>
          <w:p>
            <w:pPr>
              <w:pStyle w:val="30"/>
              <w:ind w:firstLine="0"/>
              <w:rPr>
                <w:color w:val="auto"/>
                <w:sz w:val="20"/>
                <w:szCs w:val="20"/>
              </w:rPr>
            </w:pPr>
            <w:r>
              <w:rPr>
                <w:color w:val="auto"/>
                <w:sz w:val="20"/>
                <w:szCs w:val="20"/>
              </w:rPr>
              <w:t>处理器：Xtensa® 32-bit LX6 双核处理器</w:t>
            </w:r>
          </w:p>
          <w:p>
            <w:pPr>
              <w:pStyle w:val="30"/>
              <w:ind w:firstLine="0"/>
              <w:rPr>
                <w:color w:val="auto"/>
                <w:sz w:val="20"/>
                <w:szCs w:val="20"/>
              </w:rPr>
            </w:pPr>
            <w:r>
              <w:rPr>
                <w:color w:val="auto"/>
                <w:sz w:val="20"/>
                <w:szCs w:val="20"/>
              </w:rPr>
              <w:t>通讯模式：</w:t>
            </w:r>
          </w:p>
          <w:p>
            <w:pPr>
              <w:pStyle w:val="30"/>
              <w:ind w:firstLine="0"/>
              <w:rPr>
                <w:color w:val="auto"/>
                <w:sz w:val="20"/>
                <w:szCs w:val="20"/>
              </w:rPr>
            </w:pPr>
            <w:r>
              <w:rPr>
                <w:color w:val="auto"/>
                <w:sz w:val="20"/>
                <w:szCs w:val="20"/>
              </w:rPr>
              <w:t>串口通信：主控板对扩展板</w:t>
            </w:r>
          </w:p>
          <w:p>
            <w:pPr>
              <w:pStyle w:val="30"/>
              <w:ind w:firstLine="0"/>
              <w:rPr>
                <w:color w:val="auto"/>
                <w:sz w:val="20"/>
                <w:szCs w:val="20"/>
              </w:rPr>
            </w:pPr>
            <w:r>
              <w:rPr>
                <w:color w:val="auto"/>
                <w:sz w:val="20"/>
                <w:szCs w:val="20"/>
              </w:rPr>
              <w:t>数字信号：数字舵机接口</w:t>
            </w:r>
          </w:p>
          <w:p>
            <w:pPr>
              <w:pStyle w:val="30"/>
              <w:ind w:firstLine="0"/>
              <w:rPr>
                <w:color w:val="auto"/>
                <w:sz w:val="20"/>
                <w:szCs w:val="20"/>
              </w:rPr>
            </w:pPr>
            <w:r>
              <w:rPr>
                <w:color w:val="auto"/>
                <w:sz w:val="20"/>
                <w:szCs w:val="20"/>
              </w:rPr>
              <w:t>PWM：直流电机接口</w:t>
            </w:r>
          </w:p>
        </w:tc>
        <w:tc>
          <w:tcPr>
            <w:tcW w:w="2358" w:type="dxa"/>
            <w:vAlign w:val="center"/>
          </w:tcPr>
          <w:p>
            <w:pPr>
              <w:pStyle w:val="30"/>
              <w:ind w:firstLine="0"/>
              <w:jc w:val="center"/>
              <w:rPr>
                <w:color w:val="auto"/>
                <w:sz w:val="20"/>
                <w:szCs w:val="20"/>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266" w:type="dxa"/>
            <w:vMerge w:val="restart"/>
            <w:vAlign w:val="center"/>
          </w:tcPr>
          <w:p>
            <w:pPr>
              <w:pStyle w:val="30"/>
              <w:ind w:firstLine="0"/>
              <w:jc w:val="center"/>
              <w:rPr>
                <w:b/>
                <w:bCs/>
                <w:color w:val="auto"/>
                <w:sz w:val="20"/>
                <w:szCs w:val="20"/>
              </w:rPr>
            </w:pPr>
            <w:r>
              <w:rPr>
                <w:b/>
                <w:bCs/>
                <w:color w:val="auto"/>
                <w:sz w:val="20"/>
                <w:szCs w:val="20"/>
              </w:rPr>
              <w:t>传感器</w:t>
            </w:r>
          </w:p>
        </w:tc>
        <w:tc>
          <w:tcPr>
            <w:tcW w:w="1418" w:type="dxa"/>
            <w:vAlign w:val="center"/>
          </w:tcPr>
          <w:p>
            <w:pPr>
              <w:pStyle w:val="30"/>
              <w:ind w:firstLine="0"/>
              <w:jc w:val="center"/>
              <w:rPr>
                <w:color w:val="auto"/>
                <w:sz w:val="20"/>
                <w:szCs w:val="20"/>
              </w:rPr>
            </w:pPr>
            <w:r>
              <w:rPr>
                <w:color w:val="auto"/>
                <w:sz w:val="20"/>
                <w:szCs w:val="20"/>
              </w:rPr>
              <w:t>视觉传感器</w:t>
            </w:r>
          </w:p>
        </w:tc>
        <w:tc>
          <w:tcPr>
            <w:tcW w:w="3260" w:type="dxa"/>
            <w:vAlign w:val="center"/>
          </w:tcPr>
          <w:p>
            <w:pPr>
              <w:pStyle w:val="30"/>
              <w:ind w:firstLine="0"/>
              <w:rPr>
                <w:color w:val="auto"/>
                <w:sz w:val="20"/>
                <w:szCs w:val="20"/>
              </w:rPr>
            </w:pPr>
            <w:r>
              <w:rPr>
                <w:color w:val="auto"/>
                <w:sz w:val="20"/>
                <w:szCs w:val="20"/>
              </w:rPr>
              <w:t>视场角：65.0度</w:t>
            </w:r>
          </w:p>
          <w:p>
            <w:pPr>
              <w:pStyle w:val="30"/>
              <w:ind w:firstLine="0"/>
              <w:rPr>
                <w:color w:val="auto"/>
                <w:sz w:val="20"/>
                <w:szCs w:val="20"/>
              </w:rPr>
            </w:pPr>
            <w:r>
              <w:rPr>
                <w:color w:val="auto"/>
                <w:sz w:val="20"/>
                <w:szCs w:val="20"/>
              </w:rPr>
              <w:t>有效焦距：4.65±5% mm</w:t>
            </w:r>
          </w:p>
          <w:p>
            <w:pPr>
              <w:pStyle w:val="30"/>
              <w:ind w:firstLine="0"/>
              <w:rPr>
                <w:color w:val="auto"/>
                <w:sz w:val="20"/>
                <w:szCs w:val="20"/>
              </w:rPr>
            </w:pPr>
            <w:r>
              <w:rPr>
                <w:color w:val="auto"/>
                <w:sz w:val="20"/>
                <w:szCs w:val="20"/>
              </w:rPr>
              <w:t>识别速度：60帧/s</w:t>
            </w:r>
          </w:p>
          <w:p>
            <w:pPr>
              <w:pStyle w:val="30"/>
              <w:ind w:firstLine="0"/>
              <w:rPr>
                <w:color w:val="auto"/>
                <w:sz w:val="20"/>
                <w:szCs w:val="20"/>
              </w:rPr>
            </w:pPr>
            <w:r>
              <w:rPr>
                <w:color w:val="auto"/>
                <w:sz w:val="20"/>
                <w:szCs w:val="20"/>
              </w:rPr>
              <w:t>识别距离：0.25-1.2m范围最佳</w:t>
            </w:r>
          </w:p>
          <w:p>
            <w:pPr>
              <w:pStyle w:val="30"/>
              <w:ind w:firstLine="0"/>
              <w:rPr>
                <w:color w:val="auto"/>
                <w:sz w:val="20"/>
                <w:szCs w:val="20"/>
              </w:rPr>
            </w:pPr>
            <w:r>
              <w:rPr>
                <w:color w:val="auto"/>
                <w:sz w:val="20"/>
                <w:szCs w:val="20"/>
              </w:rPr>
              <w:t xml:space="preserve">供电方式：3.7V锂电池 或 5V </w:t>
            </w:r>
            <w:r>
              <w:rPr>
                <w:rFonts w:hint="eastAsia"/>
                <w:color w:val="auto"/>
                <w:sz w:val="20"/>
                <w:szCs w:val="20"/>
              </w:rPr>
              <w:t>m</w:t>
            </w:r>
            <w:r>
              <w:rPr>
                <w:color w:val="auto"/>
                <w:sz w:val="20"/>
                <w:szCs w:val="20"/>
              </w:rPr>
              <w:t>Build电源模块</w:t>
            </w:r>
          </w:p>
          <w:p>
            <w:pPr>
              <w:pStyle w:val="30"/>
              <w:ind w:firstLine="0"/>
              <w:rPr>
                <w:color w:val="auto"/>
                <w:sz w:val="20"/>
                <w:szCs w:val="20"/>
              </w:rPr>
            </w:pPr>
            <w:r>
              <w:rPr>
                <w:color w:val="auto"/>
                <w:sz w:val="20"/>
                <w:szCs w:val="20"/>
              </w:rPr>
              <w:t>功耗范围：0.9-1.3W</w:t>
            </w:r>
          </w:p>
        </w:tc>
        <w:tc>
          <w:tcPr>
            <w:tcW w:w="2358" w:type="dxa"/>
            <w:vMerge w:val="restart"/>
            <w:vAlign w:val="center"/>
          </w:tcPr>
          <w:p>
            <w:pPr>
              <w:pStyle w:val="30"/>
              <w:ind w:firstLine="0"/>
              <w:jc w:val="center"/>
              <w:rPr>
                <w:color w:val="auto"/>
                <w:sz w:val="20"/>
                <w:szCs w:val="20"/>
              </w:rPr>
            </w:pPr>
            <w:r>
              <w:rPr>
                <w:color w:val="auto"/>
                <w:sz w:val="20"/>
                <w:szCs w:val="20"/>
              </w:rPr>
              <w:t>类型和数量不限</w:t>
            </w:r>
          </w:p>
          <w:p>
            <w:pPr>
              <w:pStyle w:val="30"/>
              <w:ind w:firstLine="0"/>
              <w:jc w:val="center"/>
              <w:rPr>
                <w:color w:val="auto"/>
                <w:sz w:val="20"/>
                <w:szCs w:val="20"/>
              </w:rPr>
            </w:pPr>
            <w:r>
              <w:rPr>
                <w:color w:val="auto"/>
                <w:sz w:val="20"/>
                <w:szCs w:val="20"/>
              </w:rPr>
              <w:t>机器人禁止使用任何可干扰到其它机器人感知能力的传感器</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266" w:type="dxa"/>
            <w:vMerge w:val="continue"/>
            <w:vAlign w:val="center"/>
          </w:tcPr>
          <w:p>
            <w:pPr>
              <w:pStyle w:val="30"/>
              <w:ind w:firstLine="0"/>
              <w:jc w:val="center"/>
              <w:rPr>
                <w:color w:val="auto"/>
                <w:sz w:val="20"/>
                <w:szCs w:val="20"/>
              </w:rPr>
            </w:pPr>
          </w:p>
        </w:tc>
        <w:tc>
          <w:tcPr>
            <w:tcW w:w="1418" w:type="dxa"/>
            <w:vAlign w:val="center"/>
          </w:tcPr>
          <w:p>
            <w:pPr>
              <w:pStyle w:val="30"/>
              <w:ind w:firstLine="0"/>
              <w:jc w:val="center"/>
              <w:rPr>
                <w:color w:val="auto"/>
                <w:sz w:val="20"/>
                <w:szCs w:val="20"/>
              </w:rPr>
            </w:pPr>
            <w:r>
              <w:rPr>
                <w:color w:val="auto"/>
                <w:sz w:val="20"/>
                <w:szCs w:val="20"/>
              </w:rPr>
              <w:t>超声波传感器</w:t>
            </w:r>
          </w:p>
        </w:tc>
        <w:tc>
          <w:tcPr>
            <w:tcW w:w="3260" w:type="dxa"/>
            <w:vAlign w:val="center"/>
          </w:tcPr>
          <w:p>
            <w:pPr>
              <w:pStyle w:val="30"/>
              <w:ind w:firstLine="0"/>
              <w:rPr>
                <w:color w:val="auto"/>
                <w:sz w:val="20"/>
                <w:szCs w:val="20"/>
              </w:rPr>
            </w:pPr>
            <w:r>
              <w:rPr>
                <w:color w:val="auto"/>
                <w:sz w:val="20"/>
                <w:szCs w:val="20"/>
              </w:rPr>
              <w:t>工作电压：DC 5V</w:t>
            </w:r>
          </w:p>
          <w:p>
            <w:pPr>
              <w:pStyle w:val="30"/>
              <w:ind w:firstLine="0"/>
              <w:rPr>
                <w:color w:val="auto"/>
                <w:sz w:val="20"/>
                <w:szCs w:val="20"/>
              </w:rPr>
            </w:pPr>
            <w:r>
              <w:rPr>
                <w:color w:val="auto"/>
                <w:sz w:val="20"/>
                <w:szCs w:val="20"/>
              </w:rPr>
              <w:t>读值范围：5-300cm</w:t>
            </w:r>
          </w:p>
          <w:p>
            <w:pPr>
              <w:pStyle w:val="30"/>
              <w:ind w:firstLine="0"/>
              <w:rPr>
                <w:color w:val="auto"/>
                <w:sz w:val="20"/>
                <w:szCs w:val="20"/>
              </w:rPr>
            </w:pPr>
            <w:r>
              <w:rPr>
                <w:color w:val="auto"/>
                <w:sz w:val="20"/>
                <w:szCs w:val="20"/>
              </w:rPr>
              <w:t>读值误差：±5%</w:t>
            </w:r>
          </w:p>
        </w:tc>
        <w:tc>
          <w:tcPr>
            <w:tcW w:w="2358" w:type="dxa"/>
            <w:vMerge w:val="continue"/>
            <w:vAlign w:val="center"/>
          </w:tcPr>
          <w:p>
            <w:pPr>
              <w:pStyle w:val="30"/>
              <w:ind w:firstLine="0"/>
              <w:jc w:val="center"/>
              <w:rPr>
                <w:color w:val="auto"/>
                <w:sz w:val="20"/>
                <w:szCs w:val="20"/>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266" w:type="dxa"/>
            <w:vMerge w:val="continue"/>
            <w:vAlign w:val="center"/>
          </w:tcPr>
          <w:p>
            <w:pPr>
              <w:pStyle w:val="30"/>
              <w:ind w:firstLine="0"/>
              <w:jc w:val="center"/>
              <w:rPr>
                <w:color w:val="auto"/>
                <w:sz w:val="20"/>
                <w:szCs w:val="20"/>
              </w:rPr>
            </w:pPr>
          </w:p>
        </w:tc>
        <w:tc>
          <w:tcPr>
            <w:tcW w:w="1418" w:type="dxa"/>
            <w:vAlign w:val="center"/>
          </w:tcPr>
          <w:p>
            <w:pPr>
              <w:pStyle w:val="30"/>
              <w:ind w:firstLine="0"/>
              <w:jc w:val="center"/>
              <w:rPr>
                <w:color w:val="auto"/>
                <w:sz w:val="20"/>
                <w:szCs w:val="20"/>
              </w:rPr>
            </w:pPr>
            <w:r>
              <w:rPr>
                <w:color w:val="auto"/>
                <w:sz w:val="20"/>
                <w:szCs w:val="20"/>
              </w:rPr>
              <w:t>巡线传感器</w:t>
            </w:r>
          </w:p>
        </w:tc>
        <w:tc>
          <w:tcPr>
            <w:tcW w:w="3260" w:type="dxa"/>
            <w:vAlign w:val="center"/>
          </w:tcPr>
          <w:p>
            <w:pPr>
              <w:pStyle w:val="30"/>
              <w:ind w:firstLine="0"/>
              <w:rPr>
                <w:color w:val="auto"/>
                <w:sz w:val="20"/>
                <w:szCs w:val="20"/>
              </w:rPr>
            </w:pPr>
            <w:r>
              <w:rPr>
                <w:color w:val="auto"/>
                <w:sz w:val="20"/>
                <w:szCs w:val="20"/>
              </w:rPr>
              <w:t>工作电压：DC 5V</w:t>
            </w:r>
          </w:p>
          <w:p>
            <w:pPr>
              <w:pStyle w:val="30"/>
              <w:ind w:firstLine="0"/>
              <w:rPr>
                <w:color w:val="auto"/>
                <w:sz w:val="20"/>
                <w:szCs w:val="20"/>
              </w:rPr>
            </w:pPr>
            <w:r>
              <w:rPr>
                <w:color w:val="auto"/>
                <w:sz w:val="20"/>
                <w:szCs w:val="20"/>
              </w:rPr>
              <w:t>检测高度：5mm-15mm</w:t>
            </w:r>
          </w:p>
        </w:tc>
        <w:tc>
          <w:tcPr>
            <w:tcW w:w="2358" w:type="dxa"/>
            <w:vMerge w:val="continue"/>
            <w:vAlign w:val="center"/>
          </w:tcPr>
          <w:p>
            <w:pPr>
              <w:pStyle w:val="30"/>
              <w:ind w:firstLine="0"/>
              <w:jc w:val="center"/>
              <w:rPr>
                <w:color w:val="auto"/>
                <w:sz w:val="20"/>
                <w:szCs w:val="20"/>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266" w:type="dxa"/>
            <w:vMerge w:val="restart"/>
            <w:vAlign w:val="center"/>
          </w:tcPr>
          <w:p>
            <w:pPr>
              <w:pStyle w:val="30"/>
              <w:ind w:firstLine="0"/>
              <w:jc w:val="center"/>
              <w:rPr>
                <w:b/>
                <w:bCs/>
                <w:color w:val="auto"/>
                <w:sz w:val="20"/>
                <w:szCs w:val="20"/>
              </w:rPr>
            </w:pPr>
            <w:r>
              <w:rPr>
                <w:b/>
                <w:bCs/>
                <w:color w:val="auto"/>
                <w:sz w:val="20"/>
                <w:szCs w:val="20"/>
              </w:rPr>
              <w:t>电机&amp;舵机</w:t>
            </w:r>
          </w:p>
        </w:tc>
        <w:tc>
          <w:tcPr>
            <w:tcW w:w="1418" w:type="dxa"/>
            <w:vAlign w:val="center"/>
          </w:tcPr>
          <w:p>
            <w:pPr>
              <w:pStyle w:val="30"/>
              <w:ind w:firstLine="0"/>
              <w:jc w:val="center"/>
              <w:rPr>
                <w:color w:val="auto"/>
                <w:sz w:val="20"/>
                <w:szCs w:val="20"/>
              </w:rPr>
            </w:pPr>
            <w:r>
              <w:rPr>
                <w:color w:val="auto"/>
                <w:sz w:val="20"/>
                <w:szCs w:val="20"/>
              </w:rPr>
              <w:t>编码电机</w:t>
            </w:r>
          </w:p>
        </w:tc>
        <w:tc>
          <w:tcPr>
            <w:tcW w:w="3260" w:type="dxa"/>
            <w:vAlign w:val="center"/>
          </w:tcPr>
          <w:p>
            <w:pPr>
              <w:pStyle w:val="30"/>
              <w:ind w:firstLine="0"/>
              <w:rPr>
                <w:color w:val="auto"/>
                <w:sz w:val="20"/>
                <w:szCs w:val="20"/>
              </w:rPr>
            </w:pPr>
            <w:r>
              <w:rPr>
                <w:color w:val="auto"/>
                <w:sz w:val="20"/>
                <w:szCs w:val="20"/>
              </w:rPr>
              <w:t>180光电编码电机</w:t>
            </w:r>
          </w:p>
          <w:p>
            <w:pPr>
              <w:pStyle w:val="30"/>
              <w:ind w:firstLine="0"/>
              <w:rPr>
                <w:color w:val="auto"/>
                <w:sz w:val="20"/>
                <w:szCs w:val="20"/>
              </w:rPr>
            </w:pPr>
            <w:r>
              <w:rPr>
                <w:color w:val="auto"/>
                <w:sz w:val="20"/>
                <w:szCs w:val="20"/>
              </w:rPr>
              <w:t>额定电压：12V</w:t>
            </w:r>
          </w:p>
          <w:p>
            <w:pPr>
              <w:pStyle w:val="30"/>
              <w:ind w:firstLine="0"/>
              <w:rPr>
                <w:color w:val="auto"/>
                <w:sz w:val="20"/>
                <w:szCs w:val="20"/>
              </w:rPr>
            </w:pPr>
            <w:r>
              <w:rPr>
                <w:color w:val="auto"/>
                <w:sz w:val="20"/>
                <w:szCs w:val="20"/>
              </w:rPr>
              <w:t>空载转速：350RPM±5%</w:t>
            </w:r>
          </w:p>
          <w:p>
            <w:pPr>
              <w:pStyle w:val="30"/>
              <w:ind w:firstLine="0"/>
              <w:rPr>
                <w:color w:val="auto"/>
                <w:sz w:val="20"/>
                <w:szCs w:val="20"/>
              </w:rPr>
            </w:pPr>
            <w:r>
              <w:rPr>
                <w:color w:val="auto"/>
                <w:sz w:val="20"/>
                <w:szCs w:val="20"/>
              </w:rPr>
              <w:t>减速比：39：6</w:t>
            </w:r>
          </w:p>
        </w:tc>
        <w:tc>
          <w:tcPr>
            <w:tcW w:w="2358" w:type="dxa"/>
            <w:vMerge w:val="restart"/>
            <w:vAlign w:val="center"/>
          </w:tcPr>
          <w:p>
            <w:pPr>
              <w:pStyle w:val="30"/>
              <w:ind w:firstLine="0"/>
              <w:jc w:val="center"/>
              <w:rPr>
                <w:color w:val="auto"/>
                <w:sz w:val="20"/>
                <w:szCs w:val="20"/>
              </w:rPr>
            </w:pPr>
            <w:r>
              <w:rPr>
                <w:color w:val="auto"/>
                <w:sz w:val="20"/>
                <w:szCs w:val="20"/>
              </w:rPr>
              <w:t>禁止更改任何电机或舵机内部的机械结构和电气布局</w:t>
            </w:r>
          </w:p>
          <w:p>
            <w:pPr>
              <w:pStyle w:val="30"/>
              <w:ind w:firstLine="0"/>
              <w:jc w:val="center"/>
              <w:rPr>
                <w:color w:val="auto"/>
                <w:sz w:val="20"/>
                <w:szCs w:val="20"/>
              </w:rPr>
            </w:pPr>
            <w:r>
              <w:rPr>
                <w:color w:val="auto"/>
                <w:sz w:val="20"/>
                <w:szCs w:val="20"/>
              </w:rPr>
              <w:t>总数量最多6个</w:t>
            </w:r>
          </w:p>
          <w:p>
            <w:pPr>
              <w:pStyle w:val="30"/>
              <w:ind w:firstLine="0"/>
              <w:jc w:val="center"/>
              <w:rPr>
                <w:color w:val="auto"/>
                <w:sz w:val="20"/>
                <w:szCs w:val="20"/>
              </w:rPr>
            </w:pPr>
          </w:p>
          <w:p>
            <w:pPr>
              <w:pStyle w:val="30"/>
              <w:ind w:firstLine="0"/>
              <w:jc w:val="center"/>
              <w:rPr>
                <w:color w:val="auto"/>
                <w:sz w:val="20"/>
                <w:szCs w:val="20"/>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266" w:type="dxa"/>
            <w:vMerge w:val="continue"/>
            <w:vAlign w:val="center"/>
          </w:tcPr>
          <w:p>
            <w:pPr>
              <w:pStyle w:val="30"/>
              <w:ind w:firstLine="0"/>
              <w:jc w:val="center"/>
              <w:rPr>
                <w:color w:val="auto"/>
                <w:sz w:val="20"/>
                <w:szCs w:val="20"/>
              </w:rPr>
            </w:pPr>
          </w:p>
        </w:tc>
        <w:tc>
          <w:tcPr>
            <w:tcW w:w="1418" w:type="dxa"/>
            <w:vMerge w:val="restart"/>
            <w:vAlign w:val="center"/>
          </w:tcPr>
          <w:p>
            <w:pPr>
              <w:pStyle w:val="30"/>
              <w:ind w:firstLine="0"/>
              <w:jc w:val="center"/>
              <w:rPr>
                <w:color w:val="auto"/>
                <w:sz w:val="20"/>
                <w:szCs w:val="20"/>
              </w:rPr>
            </w:pPr>
            <w:r>
              <w:rPr>
                <w:color w:val="auto"/>
                <w:sz w:val="20"/>
                <w:szCs w:val="20"/>
              </w:rPr>
              <w:t>直流电机</w:t>
            </w:r>
          </w:p>
        </w:tc>
        <w:tc>
          <w:tcPr>
            <w:tcW w:w="3260" w:type="dxa"/>
            <w:vAlign w:val="center"/>
          </w:tcPr>
          <w:p>
            <w:pPr>
              <w:pStyle w:val="30"/>
              <w:ind w:firstLine="0"/>
              <w:rPr>
                <w:color w:val="auto"/>
                <w:sz w:val="20"/>
                <w:szCs w:val="20"/>
              </w:rPr>
            </w:pPr>
            <w:r>
              <w:rPr>
                <w:color w:val="auto"/>
                <w:sz w:val="20"/>
                <w:szCs w:val="20"/>
              </w:rPr>
              <w:t>双轴TT马达</w:t>
            </w:r>
          </w:p>
          <w:p>
            <w:pPr>
              <w:pStyle w:val="30"/>
              <w:ind w:firstLine="0"/>
              <w:rPr>
                <w:color w:val="auto"/>
                <w:sz w:val="20"/>
                <w:szCs w:val="20"/>
              </w:rPr>
            </w:pPr>
            <w:r>
              <w:rPr>
                <w:color w:val="auto"/>
                <w:sz w:val="20"/>
                <w:szCs w:val="20"/>
              </w:rPr>
              <w:t>额定电压：DC 6V</w:t>
            </w:r>
          </w:p>
          <w:p>
            <w:pPr>
              <w:pStyle w:val="30"/>
              <w:ind w:firstLine="0"/>
              <w:rPr>
                <w:color w:val="auto"/>
                <w:sz w:val="20"/>
                <w:szCs w:val="20"/>
              </w:rPr>
            </w:pPr>
            <w:r>
              <w:rPr>
                <w:color w:val="auto"/>
                <w:sz w:val="20"/>
                <w:szCs w:val="20"/>
              </w:rPr>
              <w:t>无负载速度：200RPM±10%</w:t>
            </w:r>
          </w:p>
          <w:p>
            <w:pPr>
              <w:pStyle w:val="30"/>
              <w:ind w:firstLine="0"/>
              <w:rPr>
                <w:color w:val="auto"/>
                <w:sz w:val="20"/>
                <w:szCs w:val="20"/>
              </w:rPr>
            </w:pPr>
            <w:r>
              <w:rPr>
                <w:color w:val="auto"/>
                <w:sz w:val="20"/>
                <w:szCs w:val="20"/>
              </w:rPr>
              <w:t>齿轮比：1:48</w:t>
            </w:r>
          </w:p>
        </w:tc>
        <w:tc>
          <w:tcPr>
            <w:tcW w:w="2358" w:type="dxa"/>
            <w:vMerge w:val="continue"/>
            <w:vAlign w:val="center"/>
          </w:tcPr>
          <w:p>
            <w:pPr>
              <w:pStyle w:val="30"/>
              <w:ind w:firstLine="0"/>
              <w:jc w:val="center"/>
              <w:rPr>
                <w:color w:val="auto"/>
                <w:sz w:val="20"/>
                <w:szCs w:val="20"/>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266" w:type="dxa"/>
            <w:vMerge w:val="continue"/>
            <w:vAlign w:val="center"/>
          </w:tcPr>
          <w:p>
            <w:pPr>
              <w:pStyle w:val="30"/>
              <w:ind w:firstLine="0"/>
              <w:jc w:val="center"/>
              <w:rPr>
                <w:color w:val="auto"/>
                <w:sz w:val="20"/>
                <w:szCs w:val="20"/>
              </w:rPr>
            </w:pPr>
          </w:p>
        </w:tc>
        <w:tc>
          <w:tcPr>
            <w:tcW w:w="1418" w:type="dxa"/>
            <w:vMerge w:val="continue"/>
            <w:vAlign w:val="center"/>
          </w:tcPr>
          <w:p>
            <w:pPr>
              <w:pStyle w:val="30"/>
              <w:ind w:firstLine="0"/>
              <w:jc w:val="center"/>
              <w:rPr>
                <w:color w:val="auto"/>
                <w:sz w:val="20"/>
                <w:szCs w:val="20"/>
              </w:rPr>
            </w:pPr>
          </w:p>
        </w:tc>
        <w:tc>
          <w:tcPr>
            <w:tcW w:w="3260" w:type="dxa"/>
            <w:vAlign w:val="center"/>
          </w:tcPr>
          <w:p>
            <w:pPr>
              <w:pStyle w:val="30"/>
              <w:ind w:firstLine="0"/>
              <w:rPr>
                <w:color w:val="auto"/>
                <w:sz w:val="20"/>
                <w:szCs w:val="20"/>
              </w:rPr>
            </w:pPr>
            <w:r>
              <w:rPr>
                <w:color w:val="auto"/>
                <w:sz w:val="20"/>
                <w:szCs w:val="20"/>
              </w:rPr>
              <w:t>高速TT电机</w:t>
            </w:r>
          </w:p>
          <w:p>
            <w:pPr>
              <w:pStyle w:val="30"/>
              <w:ind w:firstLine="0"/>
              <w:rPr>
                <w:color w:val="auto"/>
                <w:sz w:val="20"/>
                <w:szCs w:val="20"/>
              </w:rPr>
            </w:pPr>
            <w:r>
              <w:rPr>
                <w:color w:val="auto"/>
                <w:sz w:val="20"/>
                <w:szCs w:val="20"/>
              </w:rPr>
              <w:t>额定电压：DC 6V</w:t>
            </w:r>
          </w:p>
          <w:p>
            <w:pPr>
              <w:pStyle w:val="30"/>
              <w:ind w:firstLine="0"/>
              <w:rPr>
                <w:color w:val="auto"/>
                <w:sz w:val="20"/>
                <w:szCs w:val="20"/>
              </w:rPr>
            </w:pPr>
            <w:r>
              <w:rPr>
                <w:color w:val="auto"/>
                <w:sz w:val="20"/>
                <w:szCs w:val="20"/>
              </w:rPr>
              <w:t>无负载速度：312RPM±10%</w:t>
            </w:r>
          </w:p>
          <w:p>
            <w:pPr>
              <w:pStyle w:val="30"/>
              <w:ind w:firstLine="0"/>
              <w:rPr>
                <w:color w:val="auto"/>
                <w:sz w:val="20"/>
                <w:szCs w:val="20"/>
              </w:rPr>
            </w:pPr>
            <w:r>
              <w:rPr>
                <w:color w:val="auto"/>
                <w:sz w:val="20"/>
                <w:szCs w:val="20"/>
              </w:rPr>
              <w:t>齿轮比：1：48</w:t>
            </w:r>
          </w:p>
        </w:tc>
        <w:tc>
          <w:tcPr>
            <w:tcW w:w="2358" w:type="dxa"/>
            <w:vMerge w:val="continue"/>
            <w:vAlign w:val="center"/>
          </w:tcPr>
          <w:p>
            <w:pPr>
              <w:pStyle w:val="30"/>
              <w:ind w:firstLine="0"/>
              <w:jc w:val="center"/>
              <w:rPr>
                <w:color w:val="auto"/>
                <w:sz w:val="20"/>
                <w:szCs w:val="20"/>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266" w:type="dxa"/>
            <w:vMerge w:val="continue"/>
            <w:vAlign w:val="center"/>
          </w:tcPr>
          <w:p>
            <w:pPr>
              <w:pStyle w:val="30"/>
              <w:ind w:firstLine="0"/>
              <w:jc w:val="center"/>
              <w:rPr>
                <w:color w:val="auto"/>
                <w:sz w:val="20"/>
                <w:szCs w:val="20"/>
              </w:rPr>
            </w:pPr>
          </w:p>
        </w:tc>
        <w:tc>
          <w:tcPr>
            <w:tcW w:w="1418" w:type="dxa"/>
            <w:vMerge w:val="restart"/>
            <w:vAlign w:val="center"/>
          </w:tcPr>
          <w:p>
            <w:pPr>
              <w:pStyle w:val="30"/>
              <w:ind w:firstLine="0"/>
              <w:jc w:val="center"/>
              <w:rPr>
                <w:color w:val="auto"/>
                <w:sz w:val="20"/>
                <w:szCs w:val="20"/>
              </w:rPr>
            </w:pPr>
            <w:r>
              <w:rPr>
                <w:color w:val="auto"/>
                <w:sz w:val="20"/>
                <w:szCs w:val="20"/>
              </w:rPr>
              <w:t>舵机</w:t>
            </w:r>
          </w:p>
        </w:tc>
        <w:tc>
          <w:tcPr>
            <w:tcW w:w="3260" w:type="dxa"/>
            <w:vAlign w:val="center"/>
          </w:tcPr>
          <w:p>
            <w:pPr>
              <w:pStyle w:val="30"/>
              <w:ind w:firstLine="0"/>
              <w:rPr>
                <w:color w:val="auto"/>
                <w:sz w:val="20"/>
                <w:szCs w:val="20"/>
              </w:rPr>
            </w:pPr>
            <w:r>
              <w:rPr>
                <w:color w:val="auto"/>
                <w:sz w:val="20"/>
                <w:szCs w:val="20"/>
              </w:rPr>
              <w:t>MS-1.5A舵机</w:t>
            </w:r>
          </w:p>
          <w:p>
            <w:pPr>
              <w:pStyle w:val="30"/>
              <w:ind w:firstLine="0"/>
              <w:rPr>
                <w:color w:val="auto"/>
                <w:sz w:val="20"/>
                <w:szCs w:val="20"/>
              </w:rPr>
            </w:pPr>
            <w:r>
              <w:rPr>
                <w:color w:val="auto"/>
                <w:sz w:val="20"/>
                <w:szCs w:val="20"/>
              </w:rPr>
              <w:t xml:space="preserve">工作电压：4.8-6V </w:t>
            </w:r>
            <w:r>
              <w:rPr>
                <w:rFonts w:hint="eastAsia"/>
                <w:color w:val="auto"/>
                <w:sz w:val="20"/>
                <w:szCs w:val="20"/>
              </w:rPr>
              <w:t>DC</w:t>
            </w:r>
          </w:p>
          <w:p>
            <w:pPr>
              <w:pStyle w:val="30"/>
              <w:ind w:firstLine="0"/>
              <w:rPr>
                <w:color w:val="auto"/>
                <w:sz w:val="20"/>
                <w:szCs w:val="20"/>
              </w:rPr>
            </w:pPr>
            <w:r>
              <w:rPr>
                <w:color w:val="auto"/>
                <w:sz w:val="20"/>
                <w:szCs w:val="20"/>
              </w:rPr>
              <w:t>扭矩：1.5</w:t>
            </w:r>
            <w:r>
              <w:rPr>
                <w:rFonts w:hint="eastAsia"/>
                <w:color w:val="auto"/>
                <w:sz w:val="20"/>
                <w:szCs w:val="20"/>
              </w:rPr>
              <w:t>kg</w:t>
            </w:r>
            <w:r>
              <w:rPr>
                <w:color w:val="auto"/>
                <w:sz w:val="20"/>
                <w:szCs w:val="20"/>
              </w:rPr>
              <w:t>/CM</w:t>
            </w:r>
          </w:p>
        </w:tc>
        <w:tc>
          <w:tcPr>
            <w:tcW w:w="2358" w:type="dxa"/>
            <w:vMerge w:val="continue"/>
            <w:vAlign w:val="center"/>
          </w:tcPr>
          <w:p>
            <w:pPr>
              <w:pStyle w:val="30"/>
              <w:ind w:firstLine="0"/>
              <w:jc w:val="center"/>
              <w:rPr>
                <w:color w:val="auto"/>
                <w:sz w:val="20"/>
                <w:szCs w:val="20"/>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266" w:type="dxa"/>
            <w:vMerge w:val="continue"/>
            <w:vAlign w:val="center"/>
          </w:tcPr>
          <w:p>
            <w:pPr>
              <w:pStyle w:val="30"/>
              <w:ind w:firstLine="0"/>
              <w:jc w:val="center"/>
              <w:rPr>
                <w:color w:val="auto"/>
                <w:sz w:val="20"/>
                <w:szCs w:val="20"/>
              </w:rPr>
            </w:pPr>
          </w:p>
        </w:tc>
        <w:tc>
          <w:tcPr>
            <w:tcW w:w="1418" w:type="dxa"/>
            <w:vMerge w:val="continue"/>
            <w:vAlign w:val="center"/>
          </w:tcPr>
          <w:p>
            <w:pPr>
              <w:pStyle w:val="30"/>
              <w:ind w:firstLine="0"/>
              <w:jc w:val="center"/>
              <w:rPr>
                <w:color w:val="auto"/>
                <w:sz w:val="20"/>
                <w:szCs w:val="20"/>
              </w:rPr>
            </w:pPr>
          </w:p>
        </w:tc>
        <w:tc>
          <w:tcPr>
            <w:tcW w:w="3260" w:type="dxa"/>
            <w:vAlign w:val="center"/>
          </w:tcPr>
          <w:p>
            <w:pPr>
              <w:pStyle w:val="30"/>
              <w:ind w:firstLine="0"/>
              <w:rPr>
                <w:color w:val="auto"/>
                <w:sz w:val="20"/>
                <w:szCs w:val="20"/>
              </w:rPr>
            </w:pPr>
            <w:r>
              <w:rPr>
                <w:color w:val="auto"/>
                <w:sz w:val="20"/>
                <w:szCs w:val="20"/>
              </w:rPr>
              <w:t>9g小舵机</w:t>
            </w:r>
          </w:p>
          <w:p>
            <w:pPr>
              <w:pStyle w:val="30"/>
              <w:ind w:firstLine="0"/>
              <w:rPr>
                <w:color w:val="auto"/>
                <w:sz w:val="20"/>
                <w:szCs w:val="20"/>
              </w:rPr>
            </w:pPr>
            <w:r>
              <w:rPr>
                <w:color w:val="auto"/>
                <w:sz w:val="20"/>
                <w:szCs w:val="20"/>
              </w:rPr>
              <w:t>工作电压：4.8-6V DC</w:t>
            </w:r>
          </w:p>
          <w:p>
            <w:pPr>
              <w:pStyle w:val="30"/>
              <w:ind w:firstLine="0"/>
              <w:rPr>
                <w:color w:val="auto"/>
                <w:sz w:val="20"/>
                <w:szCs w:val="20"/>
              </w:rPr>
            </w:pPr>
            <w:r>
              <w:rPr>
                <w:color w:val="auto"/>
                <w:sz w:val="20"/>
                <w:szCs w:val="20"/>
              </w:rPr>
              <w:t>扭矩：1.3到1.7kg/cm</w:t>
            </w:r>
          </w:p>
        </w:tc>
        <w:tc>
          <w:tcPr>
            <w:tcW w:w="2358" w:type="dxa"/>
            <w:vMerge w:val="continue"/>
            <w:vAlign w:val="center"/>
          </w:tcPr>
          <w:p>
            <w:pPr>
              <w:pStyle w:val="30"/>
              <w:ind w:firstLine="0"/>
              <w:jc w:val="center"/>
              <w:rPr>
                <w:color w:val="auto"/>
                <w:sz w:val="20"/>
                <w:szCs w:val="20"/>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266" w:type="dxa"/>
            <w:vMerge w:val="restart"/>
            <w:vAlign w:val="center"/>
          </w:tcPr>
          <w:p>
            <w:pPr>
              <w:pStyle w:val="30"/>
              <w:ind w:firstLine="0"/>
              <w:jc w:val="center"/>
              <w:rPr>
                <w:b/>
                <w:bCs/>
                <w:color w:val="auto"/>
                <w:sz w:val="20"/>
                <w:szCs w:val="20"/>
              </w:rPr>
            </w:pPr>
            <w:r>
              <w:rPr>
                <w:b/>
                <w:bCs/>
                <w:color w:val="auto"/>
                <w:sz w:val="20"/>
                <w:szCs w:val="20"/>
              </w:rPr>
              <w:t>无线通信</w:t>
            </w:r>
          </w:p>
        </w:tc>
        <w:tc>
          <w:tcPr>
            <w:tcW w:w="1418" w:type="dxa"/>
            <w:vAlign w:val="center"/>
          </w:tcPr>
          <w:p>
            <w:pPr>
              <w:pStyle w:val="30"/>
              <w:ind w:firstLine="0"/>
              <w:jc w:val="center"/>
              <w:rPr>
                <w:color w:val="auto"/>
                <w:sz w:val="20"/>
                <w:szCs w:val="20"/>
              </w:rPr>
            </w:pPr>
            <w:r>
              <w:rPr>
                <w:color w:val="auto"/>
                <w:sz w:val="20"/>
                <w:szCs w:val="20"/>
              </w:rPr>
              <w:t>蓝牙手柄</w:t>
            </w:r>
          </w:p>
        </w:tc>
        <w:tc>
          <w:tcPr>
            <w:tcW w:w="3260" w:type="dxa"/>
            <w:vAlign w:val="center"/>
          </w:tcPr>
          <w:p>
            <w:pPr>
              <w:pStyle w:val="30"/>
              <w:ind w:firstLine="0"/>
              <w:rPr>
                <w:color w:val="auto"/>
                <w:sz w:val="20"/>
                <w:szCs w:val="20"/>
              </w:rPr>
            </w:pPr>
            <w:r>
              <w:rPr>
                <w:color w:val="auto"/>
                <w:sz w:val="20"/>
                <w:szCs w:val="20"/>
              </w:rPr>
              <w:t>频带范围：2402~2480MHz</w:t>
            </w:r>
          </w:p>
          <w:p>
            <w:pPr>
              <w:pStyle w:val="30"/>
              <w:ind w:firstLine="0"/>
              <w:rPr>
                <w:color w:val="auto"/>
                <w:sz w:val="20"/>
                <w:szCs w:val="20"/>
              </w:rPr>
            </w:pPr>
            <w:r>
              <w:rPr>
                <w:color w:val="auto"/>
                <w:sz w:val="20"/>
                <w:szCs w:val="20"/>
              </w:rPr>
              <w:t>天线增益：1.5dBi</w:t>
            </w:r>
          </w:p>
          <w:p>
            <w:pPr>
              <w:pStyle w:val="30"/>
              <w:ind w:firstLine="0"/>
              <w:rPr>
                <w:color w:val="auto"/>
                <w:sz w:val="20"/>
                <w:szCs w:val="20"/>
              </w:rPr>
            </w:pPr>
            <w:r>
              <w:rPr>
                <w:color w:val="auto"/>
                <w:sz w:val="20"/>
                <w:szCs w:val="20"/>
              </w:rPr>
              <w:t>工作电流：15mA</w:t>
            </w:r>
          </w:p>
        </w:tc>
        <w:tc>
          <w:tcPr>
            <w:tcW w:w="2358" w:type="dxa"/>
            <w:vAlign w:val="center"/>
          </w:tcPr>
          <w:p>
            <w:pPr>
              <w:pStyle w:val="30"/>
              <w:ind w:firstLine="0"/>
              <w:jc w:val="center"/>
              <w:rPr>
                <w:color w:val="auto"/>
                <w:sz w:val="20"/>
                <w:szCs w:val="20"/>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266" w:type="dxa"/>
            <w:vMerge w:val="continue"/>
            <w:vAlign w:val="center"/>
          </w:tcPr>
          <w:p>
            <w:pPr>
              <w:pStyle w:val="30"/>
              <w:ind w:firstLine="0"/>
              <w:jc w:val="center"/>
              <w:rPr>
                <w:color w:val="auto"/>
                <w:sz w:val="20"/>
                <w:szCs w:val="20"/>
              </w:rPr>
            </w:pPr>
          </w:p>
        </w:tc>
        <w:tc>
          <w:tcPr>
            <w:tcW w:w="1418" w:type="dxa"/>
            <w:vAlign w:val="center"/>
          </w:tcPr>
          <w:p>
            <w:pPr>
              <w:pStyle w:val="30"/>
              <w:ind w:firstLine="0"/>
              <w:jc w:val="center"/>
              <w:rPr>
                <w:color w:val="auto"/>
                <w:sz w:val="20"/>
                <w:szCs w:val="20"/>
              </w:rPr>
            </w:pPr>
            <w:r>
              <w:rPr>
                <w:color w:val="auto"/>
                <w:sz w:val="20"/>
                <w:szCs w:val="20"/>
              </w:rPr>
              <w:t>蓝牙模块</w:t>
            </w:r>
          </w:p>
        </w:tc>
        <w:tc>
          <w:tcPr>
            <w:tcW w:w="3260" w:type="dxa"/>
            <w:vAlign w:val="center"/>
          </w:tcPr>
          <w:p>
            <w:pPr>
              <w:pStyle w:val="30"/>
              <w:ind w:firstLine="0"/>
              <w:rPr>
                <w:color w:val="auto"/>
                <w:sz w:val="20"/>
                <w:szCs w:val="20"/>
              </w:rPr>
            </w:pPr>
            <w:r>
              <w:rPr>
                <w:color w:val="auto"/>
                <w:sz w:val="20"/>
                <w:szCs w:val="20"/>
              </w:rPr>
              <w:t>蓝牙版本：BT4.0</w:t>
            </w:r>
          </w:p>
          <w:p>
            <w:pPr>
              <w:pStyle w:val="30"/>
              <w:ind w:firstLine="0"/>
              <w:rPr>
                <w:color w:val="auto"/>
                <w:sz w:val="20"/>
                <w:szCs w:val="20"/>
              </w:rPr>
            </w:pPr>
            <w:r>
              <w:rPr>
                <w:color w:val="auto"/>
                <w:sz w:val="20"/>
                <w:szCs w:val="20"/>
              </w:rPr>
              <w:t>频带范围：2402~2480MHz</w:t>
            </w:r>
          </w:p>
          <w:p>
            <w:pPr>
              <w:pStyle w:val="30"/>
              <w:ind w:firstLine="0"/>
              <w:rPr>
                <w:color w:val="auto"/>
                <w:sz w:val="20"/>
                <w:szCs w:val="20"/>
              </w:rPr>
            </w:pPr>
            <w:r>
              <w:rPr>
                <w:color w:val="auto"/>
                <w:sz w:val="20"/>
                <w:szCs w:val="20"/>
              </w:rPr>
              <w:t>天线增益：1.5dBi</w:t>
            </w:r>
          </w:p>
          <w:p>
            <w:pPr>
              <w:pStyle w:val="30"/>
              <w:ind w:firstLine="0"/>
              <w:rPr>
                <w:color w:val="auto"/>
                <w:sz w:val="20"/>
                <w:szCs w:val="20"/>
              </w:rPr>
            </w:pPr>
            <w:r>
              <w:rPr>
                <w:color w:val="auto"/>
                <w:sz w:val="20"/>
                <w:szCs w:val="20"/>
              </w:rPr>
              <w:t>能耗等级：≤4dBm</w:t>
            </w:r>
          </w:p>
          <w:p>
            <w:pPr>
              <w:pStyle w:val="30"/>
              <w:ind w:firstLine="0"/>
              <w:rPr>
                <w:color w:val="auto"/>
                <w:sz w:val="20"/>
                <w:szCs w:val="20"/>
              </w:rPr>
            </w:pPr>
            <w:r>
              <w:rPr>
                <w:color w:val="auto"/>
                <w:sz w:val="20"/>
                <w:szCs w:val="20"/>
              </w:rPr>
              <w:t>工作电流：15mA</w:t>
            </w:r>
          </w:p>
        </w:tc>
        <w:tc>
          <w:tcPr>
            <w:tcW w:w="2358" w:type="dxa"/>
            <w:vAlign w:val="center"/>
          </w:tcPr>
          <w:p>
            <w:pPr>
              <w:pStyle w:val="30"/>
              <w:ind w:firstLine="0"/>
              <w:jc w:val="center"/>
              <w:rPr>
                <w:color w:val="auto"/>
                <w:sz w:val="20"/>
                <w:szCs w:val="20"/>
              </w:rPr>
            </w:pPr>
            <w:r>
              <w:rPr>
                <w:color w:val="auto"/>
                <w:sz w:val="20"/>
                <w:szCs w:val="20"/>
              </w:rPr>
              <w:t>禁止使用除官方配备的蓝牙手柄以外任何形式的无线控制与机器人进行通信，包括但不限于任何人为触发的传感器</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266" w:type="dxa"/>
            <w:vAlign w:val="center"/>
          </w:tcPr>
          <w:p>
            <w:pPr>
              <w:pStyle w:val="30"/>
              <w:ind w:firstLine="0"/>
              <w:jc w:val="center"/>
              <w:rPr>
                <w:b/>
                <w:bCs/>
                <w:color w:val="auto"/>
                <w:sz w:val="20"/>
                <w:szCs w:val="20"/>
              </w:rPr>
            </w:pPr>
            <w:r>
              <w:rPr>
                <w:b/>
                <w:bCs/>
                <w:color w:val="auto"/>
                <w:sz w:val="20"/>
                <w:szCs w:val="20"/>
              </w:rPr>
              <w:t>电池</w:t>
            </w:r>
          </w:p>
        </w:tc>
        <w:tc>
          <w:tcPr>
            <w:tcW w:w="1418" w:type="dxa"/>
            <w:vAlign w:val="center"/>
          </w:tcPr>
          <w:p>
            <w:pPr>
              <w:pStyle w:val="30"/>
              <w:ind w:firstLine="0"/>
              <w:jc w:val="center"/>
              <w:rPr>
                <w:color w:val="auto"/>
                <w:sz w:val="20"/>
                <w:szCs w:val="20"/>
              </w:rPr>
            </w:pPr>
            <w:r>
              <w:rPr>
                <w:color w:val="auto"/>
                <w:sz w:val="20"/>
                <w:szCs w:val="20"/>
              </w:rPr>
              <w:t>18650电池</w:t>
            </w:r>
          </w:p>
        </w:tc>
        <w:tc>
          <w:tcPr>
            <w:tcW w:w="3260" w:type="dxa"/>
            <w:vAlign w:val="center"/>
          </w:tcPr>
          <w:p>
            <w:pPr>
              <w:pStyle w:val="30"/>
              <w:ind w:firstLine="0"/>
              <w:rPr>
                <w:color w:val="auto"/>
                <w:sz w:val="20"/>
                <w:szCs w:val="20"/>
              </w:rPr>
            </w:pPr>
            <w:r>
              <w:rPr>
                <w:color w:val="auto"/>
                <w:sz w:val="20"/>
                <w:szCs w:val="20"/>
              </w:rPr>
              <w:t>电池参数：3.7V 2500mAh</w:t>
            </w:r>
          </w:p>
          <w:p>
            <w:pPr>
              <w:pStyle w:val="30"/>
              <w:ind w:firstLine="0"/>
              <w:rPr>
                <w:color w:val="auto"/>
                <w:sz w:val="20"/>
                <w:szCs w:val="20"/>
              </w:rPr>
            </w:pPr>
            <w:r>
              <w:rPr>
                <w:color w:val="auto"/>
                <w:sz w:val="20"/>
                <w:szCs w:val="20"/>
              </w:rPr>
              <w:t>输出电压/电流：5V 6A</w:t>
            </w:r>
          </w:p>
        </w:tc>
        <w:tc>
          <w:tcPr>
            <w:tcW w:w="2358" w:type="dxa"/>
            <w:vAlign w:val="center"/>
          </w:tcPr>
          <w:p>
            <w:pPr>
              <w:pStyle w:val="30"/>
              <w:ind w:firstLine="0"/>
              <w:jc w:val="center"/>
              <w:rPr>
                <w:color w:val="auto"/>
                <w:sz w:val="20"/>
                <w:szCs w:val="20"/>
              </w:rPr>
            </w:pPr>
            <w:r>
              <w:rPr>
                <w:color w:val="auto"/>
                <w:sz w:val="20"/>
                <w:szCs w:val="20"/>
              </w:rPr>
              <w:t>不得擅自改动电池组件，若因此造成意外，需自行承担；</w:t>
            </w:r>
          </w:p>
        </w:tc>
      </w:tr>
    </w:tbl>
    <w:p>
      <w:pPr>
        <w:pStyle w:val="30"/>
        <w:spacing w:before="156" w:beforeLines="50"/>
      </w:pPr>
      <w:r>
        <w:rPr>
          <w:rFonts w:hint="eastAsia"/>
        </w:rPr>
        <w:t>机器人须符合技术规范的相关要求，不符合技术规范的机器人将不能参加比赛，战队须按照技术规范进行整改直至解决相关问题。</w:t>
      </w:r>
    </w:p>
    <w:p>
      <w:pPr>
        <w:pStyle w:val="33"/>
        <w:spacing w:line="420" w:lineRule="exact"/>
      </w:pPr>
      <w:bookmarkStart w:id="18" w:name="_Toc149299890"/>
      <w:r>
        <w:rPr>
          <w:rFonts w:hint="eastAsia"/>
        </w:rPr>
        <w:t>战队标记物制作规范</w:t>
      </w:r>
      <w:bookmarkEnd w:id="18"/>
    </w:p>
    <w:p>
      <w:pPr>
        <w:pStyle w:val="30"/>
      </w:pPr>
      <w:r>
        <w:rPr>
          <w:rFonts w:hint="eastAsia"/>
        </w:rPr>
        <w:t>战队标记物的制作要求如下：</w:t>
      </w:r>
    </w:p>
    <w:p>
      <w:pPr>
        <w:pStyle w:val="48"/>
        <w:ind w:firstLine="480"/>
      </w:pPr>
      <w:r>
        <w:t>该自制道具应为立体道具，不限制材质，推荐使用激光切割机或 3D 打印机制作而成。高度</w:t>
      </w:r>
      <w:r>
        <w:rPr>
          <w:rFonts w:hint="eastAsia"/>
        </w:rPr>
        <w:t>大于等于</w:t>
      </w:r>
      <w:r>
        <w:t>120mm，在地面的垂直投影</w:t>
      </w:r>
      <w:r>
        <w:rPr>
          <w:rFonts w:hint="eastAsia"/>
        </w:rPr>
        <w:t>小于等于直径</w:t>
      </w:r>
      <w:r>
        <w:t>60</w:t>
      </w:r>
      <w:r>
        <w:rPr>
          <w:rFonts w:hint="eastAsia"/>
        </w:rPr>
        <w:t>mm的圆形区域</w:t>
      </w:r>
      <w:r>
        <w:t>。</w:t>
      </w:r>
    </w:p>
    <w:p>
      <w:pPr>
        <w:pStyle w:val="48"/>
        <w:ind w:firstLine="480"/>
      </w:pPr>
      <w:bookmarkStart w:id="19" w:name="_Hlk80290347"/>
      <w:r>
        <w:t>该道具需要展示战队风貌，组委会鼓励参赛队在道具上绘制个性化的图案或文字，但是须积极向上、能够体现主题和赛事精神，内容须符合国家法律法规要求，若出现不符合要求的内容，裁判有权判定该道具不通过检录。</w:t>
      </w:r>
    </w:p>
    <w:bookmarkEnd w:id="19"/>
    <w:p>
      <w:pPr>
        <w:pStyle w:val="30"/>
      </w:pPr>
      <w:r>
        <w:rPr>
          <w:rFonts w:hint="eastAsia"/>
        </w:rPr>
        <w:t>战队标记物必须通过机器人检录和赛前检录才可被携带至赛场。</w:t>
      </w:r>
    </w:p>
    <w:p>
      <w:pPr>
        <w:pStyle w:val="36"/>
        <w:spacing w:line="240" w:lineRule="auto"/>
      </w:pPr>
      <w:bookmarkStart w:id="20" w:name="_Toc149299891"/>
      <w:r>
        <w:rPr>
          <w:rFonts w:hint="eastAsia"/>
        </w:rPr>
        <w:t>比赛规则</w:t>
      </w:r>
      <w:bookmarkEnd w:id="20"/>
    </w:p>
    <w:p>
      <w:pPr>
        <w:pStyle w:val="33"/>
        <w:spacing w:after="0" w:line="420" w:lineRule="exact"/>
      </w:pPr>
      <w:bookmarkStart w:id="21" w:name="_Toc149299892"/>
      <w:r>
        <w:t>违规处罚说明</w:t>
      </w:r>
      <w:bookmarkEnd w:id="21"/>
    </w:p>
    <w:p>
      <w:pPr>
        <w:pStyle w:val="30"/>
      </w:pPr>
      <w:r>
        <w:rPr>
          <w:rFonts w:hint="eastAsia"/>
        </w:rPr>
        <w:t>规则中包含如下几种判罚方式，其定义或解释如下：</w:t>
      </w:r>
    </w:p>
    <w:p>
      <w:pPr>
        <w:pStyle w:val="63"/>
      </w:pPr>
      <w:r>
        <w:t>违例</w:t>
      </w:r>
    </w:p>
    <w:p>
      <w:pPr>
        <w:pStyle w:val="93"/>
        <w:ind w:firstLine="480"/>
      </w:pPr>
      <w:r>
        <w:t>裁判在发现战队违</w:t>
      </w:r>
      <w:r>
        <w:rPr>
          <w:rFonts w:hint="eastAsia"/>
        </w:rPr>
        <w:t>规后</w:t>
      </w:r>
      <w:r>
        <w:t>，立即向该</w:t>
      </w:r>
      <w:r>
        <w:rPr>
          <w:rFonts w:hint="eastAsia"/>
        </w:rPr>
        <w:t>战队</w:t>
      </w:r>
      <w:r>
        <w:t>宣布</w:t>
      </w:r>
      <w:r>
        <w:rPr>
          <w:rFonts w:hint="eastAsia"/>
        </w:rPr>
        <w:t>违例</w:t>
      </w:r>
      <w:r>
        <w:t>并扣</w:t>
      </w:r>
      <w:r>
        <w:rPr>
          <w:rFonts w:hint="eastAsia"/>
        </w:rPr>
        <w:t>除</w:t>
      </w:r>
      <w:r>
        <w:t>该战队20</w:t>
      </w:r>
      <w:r>
        <w:rPr>
          <w:rFonts w:hint="eastAsia"/>
        </w:rPr>
        <w:t>分</w:t>
      </w:r>
      <w:r>
        <w:t>。在此期间，比赛计时将不会停止。</w:t>
      </w:r>
    </w:p>
    <w:p>
      <w:pPr>
        <w:pStyle w:val="93"/>
        <w:ind w:firstLine="480"/>
      </w:pPr>
      <w:r>
        <w:rPr>
          <w:rFonts w:hint="eastAsia"/>
        </w:rPr>
        <w:t>比赛</w:t>
      </w:r>
      <w:r>
        <w:t>中，</w:t>
      </w:r>
      <w:r>
        <w:rPr>
          <w:rFonts w:hint="eastAsia"/>
        </w:rPr>
        <w:t>若因违规行为</w:t>
      </w:r>
      <w:r>
        <w:t>获得</w:t>
      </w:r>
      <w:r>
        <w:rPr>
          <w:rFonts w:hint="eastAsia"/>
        </w:rPr>
        <w:t>了得分</w:t>
      </w:r>
      <w:r>
        <w:t>优势</w:t>
      </w:r>
      <w:r>
        <w:rPr>
          <w:rFonts w:hint="eastAsia"/>
        </w:rPr>
        <w:t>则</w:t>
      </w:r>
      <w:r>
        <w:t>该</w:t>
      </w:r>
      <w:r>
        <w:rPr>
          <w:rFonts w:hint="eastAsia"/>
        </w:rPr>
        <w:t>得分</w:t>
      </w:r>
      <w:r>
        <w:t>优势无效，</w:t>
      </w:r>
      <w:r>
        <w:rPr>
          <w:rFonts w:hint="eastAsia"/>
        </w:rPr>
        <w:t>且该</w:t>
      </w:r>
      <w:r>
        <w:t>得分道具</w:t>
      </w:r>
      <w:r>
        <w:rPr>
          <w:rFonts w:hint="eastAsia"/>
        </w:rPr>
        <w:t>将</w:t>
      </w:r>
      <w:r>
        <w:t>失效。</w:t>
      </w:r>
    </w:p>
    <w:p>
      <w:pPr>
        <w:pStyle w:val="63"/>
      </w:pPr>
      <w:r>
        <w:rPr>
          <w:rFonts w:hint="eastAsia"/>
        </w:rPr>
        <w:t>得分道具</w:t>
      </w:r>
      <w:r>
        <w:t>失效</w:t>
      </w:r>
    </w:p>
    <w:p>
      <w:pPr>
        <w:pStyle w:val="93"/>
        <w:ind w:firstLine="480"/>
      </w:pPr>
      <w:r>
        <w:rPr>
          <w:rFonts w:hint="eastAsia"/>
        </w:rPr>
        <w:t>若违规触碰场地道具及得分道具，则裁判将宣布相关道具失效。已经失效的得分道具将会被裁判移除出比赛场地，且无法继续获得分数。裁判有权根据本手册内容对该得分道具失效前的最终状态是否计分进行裁定。计分阶段，若得分道具与机器人存在接触，该得分道具无论是否处于得分状态都不算得分。</w:t>
      </w:r>
    </w:p>
    <w:p>
      <w:pPr>
        <w:pStyle w:val="63"/>
      </w:pPr>
      <w:r>
        <w:rPr>
          <w:rFonts w:hint="eastAsia"/>
        </w:rPr>
        <w:t>取消</w:t>
      </w:r>
      <w:r>
        <w:t>本场比赛资格</w:t>
      </w:r>
    </w:p>
    <w:p>
      <w:pPr>
        <w:pStyle w:val="93"/>
        <w:ind w:firstLine="480"/>
      </w:pPr>
      <w:r>
        <w:rPr>
          <w:rFonts w:hint="eastAsia"/>
        </w:rPr>
        <w:t>本场比赛成绩作废，但不影响其他场次比赛。</w:t>
      </w:r>
    </w:p>
    <w:p>
      <w:pPr>
        <w:pStyle w:val="63"/>
      </w:pPr>
      <w:r>
        <w:rPr>
          <w:rFonts w:hint="eastAsia"/>
        </w:rPr>
        <w:t>取消全场</w:t>
      </w:r>
      <w:r>
        <w:t>比赛</w:t>
      </w:r>
      <w:r>
        <w:rPr>
          <w:rFonts w:hint="eastAsia"/>
        </w:rPr>
        <w:t>成绩</w:t>
      </w:r>
    </w:p>
    <w:p>
      <w:pPr>
        <w:pStyle w:val="93"/>
        <w:ind w:firstLine="480"/>
      </w:pPr>
      <w:r>
        <w:rPr>
          <w:rFonts w:hint="eastAsia"/>
        </w:rPr>
        <w:t>该战队不得继续参与该场比赛或下一场比赛，所有场次比赛成绩作废，该战队将失去继续参加本次比赛的机会和评奖资格。</w:t>
      </w:r>
    </w:p>
    <w:p>
      <w:pPr>
        <w:pStyle w:val="33"/>
        <w:spacing w:line="420" w:lineRule="exact"/>
      </w:pPr>
      <w:bookmarkStart w:id="22" w:name="_Toc149299893"/>
      <w:r>
        <w:t>安全规则</w:t>
      </w:r>
      <w:bookmarkEnd w:id="22"/>
    </w:p>
    <w:p>
      <w:pPr>
        <w:pStyle w:val="63"/>
      </w:pPr>
      <w:r>
        <w:t>机器人安全</w:t>
      </w:r>
    </w:p>
    <w:p>
      <w:pPr>
        <w:pStyle w:val="90"/>
        <w:ind w:firstLine="480"/>
      </w:pPr>
      <w:r>
        <w:t>战队对机器人的设计搭建</w:t>
      </w:r>
      <w:r>
        <w:rPr>
          <w:rFonts w:hint="eastAsia"/>
        </w:rPr>
        <w:t>，须</w:t>
      </w:r>
      <w:r>
        <w:t>符合技术规范的要求。</w:t>
      </w:r>
    </w:p>
    <w:p>
      <w:pPr>
        <w:pStyle w:val="90"/>
        <w:ind w:firstLine="480"/>
      </w:pPr>
      <w:r>
        <w:t>机器人</w:t>
      </w:r>
      <w:r>
        <w:rPr>
          <w:rFonts w:hint="eastAsia"/>
        </w:rPr>
        <w:t>的</w:t>
      </w:r>
      <w:r>
        <w:t>各种零部件</w:t>
      </w:r>
      <w:r>
        <w:rPr>
          <w:rFonts w:hint="eastAsia"/>
        </w:rPr>
        <w:t>需安全</w:t>
      </w:r>
      <w:r>
        <w:t>使用。</w:t>
      </w:r>
    </w:p>
    <w:p>
      <w:pPr>
        <w:pStyle w:val="90"/>
        <w:ind w:firstLine="480"/>
      </w:pPr>
      <w:r>
        <w:t>机器人</w:t>
      </w:r>
      <w:r>
        <w:rPr>
          <w:rFonts w:hint="eastAsia"/>
        </w:rPr>
        <w:t>不可有主动分离零部件（发射、弹射等）的动作。</w:t>
      </w:r>
    </w:p>
    <w:p>
      <w:pPr>
        <w:pStyle w:val="90"/>
        <w:ind w:firstLine="480"/>
      </w:pPr>
      <w:r>
        <w:rPr>
          <w:rFonts w:hint="eastAsia"/>
        </w:rPr>
        <w:t>比赛全程</w:t>
      </w:r>
      <w:r>
        <w:t>中机器人不得使用</w:t>
      </w:r>
      <w:r>
        <w:rPr>
          <w:rFonts w:hint="eastAsia"/>
        </w:rPr>
        <w:t>包括</w:t>
      </w:r>
      <w:r>
        <w:t>但不限于双面胶或</w:t>
      </w:r>
      <w:r>
        <w:rPr>
          <w:rFonts w:hint="eastAsia"/>
        </w:rPr>
        <w:t>胶水粘贴</w:t>
      </w:r>
      <w:r>
        <w:t>场地道具。</w:t>
      </w:r>
    </w:p>
    <w:p>
      <w:pPr>
        <w:pStyle w:val="90"/>
        <w:ind w:firstLine="480"/>
      </w:pPr>
      <w:r>
        <w:t>裁判有权拒绝危险的机器人进入</w:t>
      </w:r>
      <w:r>
        <w:rPr>
          <w:rFonts w:hint="eastAsia"/>
        </w:rPr>
        <w:t>赛场</w:t>
      </w:r>
      <w:r>
        <w:t>进行比赛。裁判有权依据机器人危险程度</w:t>
      </w:r>
      <w:r>
        <w:rPr>
          <w:rFonts w:hint="eastAsia"/>
        </w:rPr>
        <w:t>判断</w:t>
      </w:r>
      <w:r>
        <w:t>是否取消战队</w:t>
      </w:r>
      <w:r>
        <w:rPr>
          <w:rFonts w:hint="eastAsia"/>
        </w:rPr>
        <w:t>全场比赛成绩</w:t>
      </w:r>
      <w:r>
        <w:t>。</w:t>
      </w:r>
    </w:p>
    <w:p>
      <w:pPr>
        <w:pStyle w:val="63"/>
        <w:jc w:val="left"/>
      </w:pPr>
      <w:r>
        <w:rPr>
          <w:rFonts w:hint="eastAsia"/>
        </w:rPr>
        <w:t>参赛队员</w:t>
      </w:r>
      <w:r>
        <w:t>安全</w:t>
      </w:r>
      <w:r>
        <w:rPr>
          <w:rFonts w:hint="eastAsia"/>
        </w:rPr>
        <w:t>规则</w:t>
      </w:r>
    </w:p>
    <w:p>
      <w:pPr>
        <w:pStyle w:val="90"/>
        <w:ind w:firstLine="480"/>
      </w:pPr>
      <w:r>
        <w:t>参赛</w:t>
      </w:r>
      <w:r>
        <w:rPr>
          <w:rFonts w:hint="eastAsia"/>
        </w:rPr>
        <w:t>队员</w:t>
      </w:r>
      <w:r>
        <w:t>需在指导教师的</w:t>
      </w:r>
      <w:r>
        <w:rPr>
          <w:rFonts w:hint="eastAsia"/>
        </w:rPr>
        <w:t>引导</w:t>
      </w:r>
      <w:r>
        <w:t>下，仔细阅读本手册后，进行比赛的准备与机器人</w:t>
      </w:r>
      <w:r>
        <w:rPr>
          <w:rFonts w:hint="eastAsia"/>
        </w:rPr>
        <w:t>的</w:t>
      </w:r>
      <w:r>
        <w:t>设计搭建。</w:t>
      </w:r>
    </w:p>
    <w:p>
      <w:pPr>
        <w:pStyle w:val="90"/>
        <w:ind w:firstLine="480"/>
      </w:pPr>
      <w:r>
        <w:t>参赛</w:t>
      </w:r>
      <w:r>
        <w:rPr>
          <w:rFonts w:hint="eastAsia"/>
        </w:rPr>
        <w:t>队员</w:t>
      </w:r>
      <w:r>
        <w:t>在</w:t>
      </w:r>
      <w:r>
        <w:rPr>
          <w:rFonts w:hint="eastAsia"/>
        </w:rPr>
        <w:t>备赛</w:t>
      </w:r>
      <w:r>
        <w:t>的过程中不可擅自进行危险操作。</w:t>
      </w:r>
    </w:p>
    <w:p>
      <w:pPr>
        <w:pStyle w:val="90"/>
        <w:ind w:firstLine="480"/>
      </w:pPr>
      <w:r>
        <w:t>在使用工具（螺丝刀、</w:t>
      </w:r>
      <w:r>
        <w:rPr>
          <w:rFonts w:hint="eastAsia"/>
        </w:rPr>
        <w:t>锋利</w:t>
      </w:r>
      <w:r>
        <w:t>刀</w:t>
      </w:r>
      <w:r>
        <w:rPr>
          <w:rFonts w:hint="eastAsia"/>
        </w:rPr>
        <w:t>具</w:t>
      </w:r>
      <w:r>
        <w:t>）等危险物品时需注意安全。</w:t>
      </w:r>
    </w:p>
    <w:p>
      <w:pPr>
        <w:pStyle w:val="90"/>
        <w:ind w:firstLine="480"/>
      </w:pPr>
      <w:r>
        <w:t>比赛中，</w:t>
      </w:r>
      <w:r>
        <w:rPr>
          <w:rFonts w:hint="eastAsia"/>
        </w:rPr>
        <w:t>参赛选手建议</w:t>
      </w:r>
      <w:r>
        <w:t>佩戴护目镜；留长发者</w:t>
      </w:r>
      <w:r>
        <w:rPr>
          <w:rFonts w:hint="eastAsia"/>
        </w:rPr>
        <w:t>，须将长发</w:t>
      </w:r>
      <w:r>
        <w:t>扎起；战队禁止穿露脚趾的鞋进入</w:t>
      </w:r>
      <w:r>
        <w:rPr>
          <w:rFonts w:hint="eastAsia"/>
        </w:rPr>
        <w:t>赛场</w:t>
      </w:r>
      <w:r>
        <w:t xml:space="preserve">。 </w:t>
      </w:r>
    </w:p>
    <w:p>
      <w:pPr>
        <w:pStyle w:val="90"/>
        <w:ind w:firstLine="480"/>
      </w:pPr>
      <w:r>
        <w:rPr>
          <w:rFonts w:hint="eastAsia"/>
        </w:rPr>
        <w:t>比赛中，战队不可进行按压赛台，破坏场地道具等危险动作。</w:t>
      </w:r>
    </w:p>
    <w:p>
      <w:pPr>
        <w:pStyle w:val="90"/>
        <w:numPr>
          <w:ilvl w:val="0"/>
          <w:numId w:val="0"/>
        </w:numPr>
        <w:ind w:firstLine="480" w:firstLineChars="200"/>
        <w:jc w:val="left"/>
      </w:pPr>
      <w:r>
        <w:rPr>
          <w:rStyle w:val="49"/>
          <w:rFonts w:hint="eastAsia"/>
          <w:color w:val="000000" w:themeColor="text1"/>
          <w14:textFill>
            <w14:solidFill>
              <w14:schemeClr w14:val="tx1"/>
            </w14:solidFill>
          </w14:textFill>
        </w:rPr>
        <w:t>如不符合以上要求，</w:t>
      </w:r>
      <w:r>
        <w:rPr>
          <w:rStyle w:val="49"/>
          <w:color w:val="000000" w:themeColor="text1"/>
          <w14:textFill>
            <w14:solidFill>
              <w14:schemeClr w14:val="tx1"/>
            </w14:solidFill>
          </w14:textFill>
        </w:rPr>
        <w:t>裁判</w:t>
      </w:r>
      <w:r>
        <w:rPr>
          <w:rStyle w:val="49"/>
          <w:rFonts w:hint="eastAsia"/>
          <w:color w:val="000000" w:themeColor="text1"/>
          <w14:textFill>
            <w14:solidFill>
              <w14:schemeClr w14:val="tx1"/>
            </w14:solidFill>
          </w14:textFill>
        </w:rPr>
        <w:t>可</w:t>
      </w:r>
      <w:r>
        <w:rPr>
          <w:rStyle w:val="49"/>
          <w:color w:val="000000" w:themeColor="text1"/>
          <w14:textFill>
            <w14:solidFill>
              <w14:schemeClr w14:val="tx1"/>
            </w14:solidFill>
          </w14:textFill>
        </w:rPr>
        <w:t>拒绝战队进入</w:t>
      </w:r>
      <w:r>
        <w:rPr>
          <w:rStyle w:val="49"/>
          <w:rFonts w:hint="eastAsia"/>
          <w:color w:val="000000" w:themeColor="text1"/>
          <w14:textFill>
            <w14:solidFill>
              <w14:schemeClr w14:val="tx1"/>
            </w14:solidFill>
          </w14:textFill>
        </w:rPr>
        <w:t>赛场</w:t>
      </w:r>
      <w:r>
        <w:rPr>
          <w:rStyle w:val="49"/>
          <w:color w:val="000000" w:themeColor="text1"/>
          <w14:textFill>
            <w14:solidFill>
              <w14:schemeClr w14:val="tx1"/>
            </w14:solidFill>
          </w14:textFill>
        </w:rPr>
        <w:t>进行比赛</w:t>
      </w:r>
      <w:r>
        <w:rPr>
          <w:rStyle w:val="49"/>
          <w:rFonts w:hint="eastAsia"/>
          <w:color w:val="000000" w:themeColor="text1"/>
          <w14:textFill>
            <w14:solidFill>
              <w14:schemeClr w14:val="tx1"/>
            </w14:solidFill>
          </w14:textFill>
        </w:rPr>
        <w:t>，要求战队整改直至解决相关问题；</w:t>
      </w:r>
      <w:r>
        <w:rPr>
          <w:rStyle w:val="49"/>
          <w:color w:val="000000" w:themeColor="text1"/>
          <w14:textFill>
            <w14:solidFill>
              <w14:schemeClr w14:val="tx1"/>
            </w14:solidFill>
          </w14:textFill>
        </w:rPr>
        <w:t>裁判</w:t>
      </w:r>
      <w:r>
        <w:rPr>
          <w:rStyle w:val="49"/>
          <w:rFonts w:hint="eastAsia"/>
          <w:color w:val="000000" w:themeColor="text1"/>
          <w14:textFill>
            <w14:solidFill>
              <w14:schemeClr w14:val="tx1"/>
            </w14:solidFill>
          </w14:textFill>
        </w:rPr>
        <w:t>可</w:t>
      </w:r>
      <w:r>
        <w:rPr>
          <w:rStyle w:val="49"/>
          <w:color w:val="000000" w:themeColor="text1"/>
          <w14:textFill>
            <w14:solidFill>
              <w14:schemeClr w14:val="tx1"/>
            </w14:solidFill>
          </w14:textFill>
        </w:rPr>
        <w:t>依据危险程度</w:t>
      </w:r>
      <w:r>
        <w:rPr>
          <w:rStyle w:val="49"/>
          <w:rFonts w:hint="eastAsia"/>
          <w:color w:val="000000" w:themeColor="text1"/>
          <w14:textFill>
            <w14:solidFill>
              <w14:schemeClr w14:val="tx1"/>
            </w14:solidFill>
          </w14:textFill>
        </w:rPr>
        <w:t>判断</w:t>
      </w:r>
      <w:r>
        <w:rPr>
          <w:rStyle w:val="49"/>
          <w:color w:val="000000" w:themeColor="text1"/>
          <w14:textFill>
            <w14:solidFill>
              <w14:schemeClr w14:val="tx1"/>
            </w14:solidFill>
          </w14:textFill>
        </w:rPr>
        <w:t>是否</w:t>
      </w:r>
      <w:r>
        <w:rPr>
          <w:rStyle w:val="49"/>
          <w:rFonts w:hint="eastAsia"/>
          <w:color w:val="000000" w:themeColor="text1"/>
          <w14:textFill>
            <w14:solidFill>
              <w14:schemeClr w14:val="tx1"/>
            </w14:solidFill>
          </w14:textFill>
        </w:rPr>
        <w:t>当场</w:t>
      </w:r>
      <w:r>
        <w:rPr>
          <w:rStyle w:val="49"/>
          <w:color w:val="000000" w:themeColor="text1"/>
          <w14:textFill>
            <w14:solidFill>
              <w14:schemeClr w14:val="tx1"/>
            </w14:solidFill>
          </w14:textFill>
        </w:rPr>
        <w:t>取消战队全场比赛成绩</w:t>
      </w:r>
      <w:r>
        <w:t>。</w:t>
      </w:r>
    </w:p>
    <w:p>
      <w:pPr>
        <w:pStyle w:val="33"/>
        <w:spacing w:line="420" w:lineRule="exact"/>
      </w:pPr>
      <w:bookmarkStart w:id="23" w:name="_Toc149299894"/>
      <w:r>
        <w:t>操作规则</w:t>
      </w:r>
      <w:bookmarkEnd w:id="23"/>
    </w:p>
    <w:p>
      <w:pPr>
        <w:pStyle w:val="63"/>
      </w:pPr>
      <w:r>
        <w:rPr>
          <w:rFonts w:hint="eastAsia"/>
        </w:rPr>
        <w:t>参赛队员站位及换位规则</w:t>
      </w:r>
    </w:p>
    <w:p>
      <w:pPr>
        <w:pStyle w:val="90"/>
        <w:ind w:firstLine="480"/>
      </w:pPr>
      <w:r>
        <w:rPr>
          <w:rFonts w:hint="eastAsia"/>
        </w:rPr>
        <w:t>比赛全程，参赛队员须站在规定区域进行比赛。自动控制阶段，参赛队员须站在自动任务区的规定操作区域。手动控制阶段，每支战队可由一名操作手与一名观察手在图示区域内进行比赛，参赛队员不可在操作区外进行比赛。如战队仅有一名参赛队员，则须选择其中一个比赛角色进行比赛，不可同时扮演操作手和观察手的角色（例：操作手不可拿着手柄在观察手区操作机器），操作区域实际大小视比赛现场情况而定。</w:t>
      </w:r>
    </w:p>
    <w:p>
      <w:pPr>
        <w:pStyle w:val="90"/>
        <w:ind w:firstLine="480"/>
      </w:pPr>
      <w:r>
        <w:t>手动控制阶段中，若</w:t>
      </w:r>
      <w:r>
        <w:rPr>
          <w:rFonts w:hint="eastAsia"/>
        </w:rPr>
        <w:t>操作手与观察手须</w:t>
      </w:r>
      <w:r>
        <w:t>要更换角色</w:t>
      </w:r>
      <w:r>
        <w:rPr>
          <w:rFonts w:hint="eastAsia"/>
        </w:rPr>
        <w:t>，须向裁判</w:t>
      </w:r>
      <w:r>
        <w:t>喊出</w:t>
      </w:r>
      <w:r>
        <w:rPr>
          <w:rFonts w:hint="eastAsia"/>
        </w:rPr>
        <w:t>“红方申请换位”或“蓝方申请换位”。得到裁判许可后，停止</w:t>
      </w:r>
      <w:r>
        <w:t>当前操作，前往另一区域继续比赛。</w:t>
      </w:r>
      <w:r>
        <w:rPr>
          <w:rFonts w:hint="eastAsia"/>
        </w:rPr>
        <w:t>更换角色期间，比赛继续正常计时。操作手申请换位至观察手时，需要将蓝牙手柄放置于场地启动区内，再进行换位。</w:t>
      </w:r>
    </w:p>
    <w:p>
      <w:pPr>
        <w:pStyle w:val="90"/>
        <w:numPr>
          <w:ilvl w:val="0"/>
          <w:numId w:val="14"/>
        </w:numPr>
        <w:ind w:firstLineChars="0"/>
      </w:pPr>
      <w:r>
        <w:rPr>
          <w:rFonts w:hint="eastAsia"/>
        </w:rPr>
        <w:t>以下行为将会被判违例：手动控制阶段，未经裁判允许自行进行角色更换；手动控制阶段申请换位后，操作手手持蓝牙手柄进行换位；手动控制阶段时，手持蓝牙手柄在观察手区进行操作机器人。</w:t>
      </w:r>
    </w:p>
    <w:p>
      <w:pPr>
        <w:widowControl/>
        <w:spacing w:line="240" w:lineRule="auto"/>
        <w:jc w:val="center"/>
        <w:rPr>
          <w:rFonts w:cs="Arial"/>
          <w:sz w:val="24"/>
          <w:szCs w:val="21"/>
          <w:lang w:val="en-GB"/>
          <w14:scene3d>
            <w14:lightRig w14:rig="threePt" w14:dir="t">
              <w14:rot w14:lat="0" w14:lon="0" w14:rev="0"/>
            </w14:lightRig>
          </w14:scene3d>
        </w:rPr>
      </w:pPr>
      <w:r>
        <w:rPr>
          <w:rFonts w:cs="微软雅黑"/>
          <w:bCs/>
          <w:color w:val="000000" w:themeColor="text1"/>
          <w:sz w:val="24"/>
          <w:szCs w:val="21"/>
          <w14:textFill>
            <w14:solidFill>
              <w14:schemeClr w14:val="tx1"/>
            </w14:solidFill>
          </w14:textFill>
        </w:rPr>
        <w:drawing>
          <wp:anchor distT="0" distB="0" distL="114300" distR="114300" simplePos="0" relativeHeight="251689984" behindDoc="0" locked="0" layoutInCell="1" allowOverlap="1">
            <wp:simplePos x="0" y="0"/>
            <wp:positionH relativeFrom="margin">
              <wp:align>center</wp:align>
            </wp:positionH>
            <wp:positionV relativeFrom="paragraph">
              <wp:posOffset>96520</wp:posOffset>
            </wp:positionV>
            <wp:extent cx="3999230" cy="3326765"/>
            <wp:effectExtent l="0" t="0" r="1270" b="6985"/>
            <wp:wrapTopAndBottom/>
            <wp:docPr id="8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4"/>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3999230" cy="3326765"/>
                    </a:xfrm>
                    <a:prstGeom prst="rect">
                      <a:avLst/>
                    </a:prstGeom>
                  </pic:spPr>
                </pic:pic>
              </a:graphicData>
            </a:graphic>
          </wp:anchor>
        </w:drawing>
      </w:r>
      <w:r>
        <w:rPr>
          <w:rFonts w:hint="eastAsia" w:cs="微软雅黑"/>
          <w:bCs/>
          <w:color w:val="000000" w:themeColor="text1"/>
          <w:sz w:val="24"/>
          <w:szCs w:val="21"/>
          <w14:textFill>
            <w14:solidFill>
              <w14:schemeClr w14:val="tx1"/>
            </w14:solidFill>
          </w14:textFill>
        </w:rPr>
        <w:t>图</w:t>
      </w:r>
      <w:r>
        <w:rPr>
          <w:rFonts w:hint="eastAsia" w:cs="微软雅黑"/>
          <w:bCs/>
          <w:color w:val="000000" w:themeColor="text1"/>
          <w:sz w:val="24"/>
          <w:szCs w:val="21"/>
          <w:lang w:val="en-US" w:eastAsia="zh-CN"/>
          <w14:textFill>
            <w14:solidFill>
              <w14:schemeClr w14:val="tx1"/>
            </w14:solidFill>
          </w14:textFill>
        </w:rPr>
        <w:t>3</w:t>
      </w:r>
      <w:r>
        <w:rPr>
          <w:rFonts w:hint="eastAsia" w:cs="微软雅黑"/>
          <w:bCs/>
          <w:color w:val="000000" w:themeColor="text1"/>
          <w:sz w:val="24"/>
          <w:szCs w:val="21"/>
          <w14:textFill>
            <w14:solidFill>
              <w14:schemeClr w14:val="tx1"/>
            </w14:solidFill>
          </w14:textFill>
        </w:rPr>
        <w:t>.</w:t>
      </w:r>
      <w:r>
        <w:rPr>
          <w:rFonts w:cs="微软雅黑"/>
          <w:bCs/>
          <w:color w:val="000000" w:themeColor="text1"/>
          <w:sz w:val="24"/>
          <w:szCs w:val="21"/>
          <w14:textFill>
            <w14:solidFill>
              <w14:schemeClr w14:val="tx1"/>
            </w14:solidFill>
          </w14:textFill>
        </w:rPr>
        <w:t xml:space="preserve">3-1 </w:t>
      </w:r>
      <w:r>
        <w:rPr>
          <w:rFonts w:hint="eastAsia" w:cs="微软雅黑"/>
          <w:bCs/>
          <w:color w:val="000000" w:themeColor="text1"/>
          <w:sz w:val="24"/>
          <w:szCs w:val="21"/>
          <w14:textFill>
            <w14:solidFill>
              <w14:schemeClr w14:val="tx1"/>
            </w14:solidFill>
          </w14:textFill>
        </w:rPr>
        <w:t>选手站位示意图</w:t>
      </w:r>
    </w:p>
    <w:p>
      <w:pPr>
        <w:pStyle w:val="63"/>
      </w:pPr>
      <w:r>
        <w:rPr>
          <w:rFonts w:hint="eastAsia"/>
        </w:rPr>
        <w:t>机器人的启动、重启与改装规则</w:t>
      </w:r>
    </w:p>
    <w:p>
      <w:pPr>
        <w:pStyle w:val="90"/>
        <w:ind w:firstLine="480"/>
      </w:pPr>
      <w:r>
        <w:rPr>
          <w:rFonts w:hint="eastAsia"/>
        </w:rPr>
        <w:t>参赛队员应在裁判宣布比赛开始后启动机器人。若机器人提前发生位移，则视为机器人提前启动。机器人启动时，需完全进入启动区。</w:t>
      </w:r>
    </w:p>
    <w:p>
      <w:pPr>
        <w:pStyle w:val="90"/>
        <w:ind w:firstLine="480"/>
      </w:pPr>
      <w:r>
        <w:rPr>
          <w:rFonts w:hint="eastAsia"/>
        </w:rPr>
        <w:t>参赛队员在比赛过程中，可以随时向裁判申请重启或改装机器人，在获得许可后，参赛队员可对本方机器人进行重启或改装。比赛不会因机器人重启和改装而暂停，计时将持续进行。</w:t>
      </w:r>
    </w:p>
    <w:p>
      <w:pPr>
        <w:pStyle w:val="90"/>
        <w:ind w:firstLine="480"/>
      </w:pPr>
      <w:r>
        <w:rPr>
          <w:rFonts w:hint="eastAsia"/>
        </w:rPr>
        <w:t>如参赛队员选择重启或改装本方机器人，参赛队员须向裁判举手并喊出“红</w:t>
      </w:r>
      <w:r>
        <w:t>/蓝方请求，重启”，并在裁判喊出“同意红/蓝方重启 ”后方可取出本方机器人进行重启或改装，战队</w:t>
      </w:r>
      <w:r>
        <w:rPr>
          <w:rFonts w:hint="eastAsia"/>
        </w:rPr>
        <w:t>不得</w:t>
      </w:r>
      <w:r>
        <w:t>未经裁判允许擅自重启机器人</w:t>
      </w:r>
      <w:r>
        <w:rPr>
          <w:rFonts w:hint="eastAsia"/>
        </w:rPr>
        <w:t>。</w:t>
      </w:r>
    </w:p>
    <w:p>
      <w:pPr>
        <w:pStyle w:val="90"/>
        <w:ind w:firstLine="480"/>
      </w:pPr>
      <w:r>
        <w:rPr>
          <w:rFonts w:hint="eastAsia"/>
        </w:rPr>
        <w:t>在自动控制阶段，获得裁判的重启许可后，参赛选手可直接接触机器人；在手动控制阶段，仅操作手在获得裁判的重启许后，可直接接触机器人。</w:t>
      </w:r>
    </w:p>
    <w:p>
      <w:pPr>
        <w:pStyle w:val="90"/>
        <w:ind w:firstLine="480"/>
      </w:pPr>
      <w:r>
        <w:rPr>
          <w:rFonts w:hint="eastAsia"/>
        </w:rPr>
        <w:t>机器人重启或改装后，需要从启动区重新出发，机器人需完全进入启动区。</w:t>
      </w:r>
    </w:p>
    <w:p>
      <w:pPr>
        <w:pStyle w:val="90"/>
        <w:ind w:firstLine="480"/>
      </w:pPr>
      <w:r>
        <w:rPr>
          <w:rFonts w:hint="eastAsia"/>
        </w:rPr>
        <w:t>改装区域为启动区内及赛场外。</w:t>
      </w:r>
    </w:p>
    <w:p>
      <w:pPr>
        <w:pStyle w:val="90"/>
        <w:ind w:firstLine="480"/>
      </w:pPr>
      <w:r>
        <w:rPr>
          <w:rFonts w:hint="eastAsia"/>
        </w:rPr>
        <w:t>若机器人位于参赛队员无法触碰的区域，参赛队员可向裁判举手并喊出“红</w:t>
      </w:r>
      <w:r>
        <w:t>/蓝方请求，请求裁判代取”后，由裁判代为取出，由于裁判</w:t>
      </w:r>
      <w:r>
        <w:rPr>
          <w:rFonts w:hint="eastAsia"/>
        </w:rPr>
        <w:t>代取</w:t>
      </w:r>
      <w:r>
        <w:t>机器人而带来的违规判罚由战队自行承担</w:t>
      </w:r>
      <w:r>
        <w:rPr>
          <w:rFonts w:hint="eastAsia"/>
        </w:rPr>
        <w:t>。</w:t>
      </w:r>
    </w:p>
    <w:p>
      <w:pPr>
        <w:pStyle w:val="90"/>
        <w:numPr>
          <w:ilvl w:val="0"/>
          <w:numId w:val="14"/>
        </w:numPr>
        <w:ind w:firstLineChars="0"/>
      </w:pPr>
      <w:r>
        <w:rPr>
          <w:rFonts w:hint="eastAsia"/>
        </w:rPr>
        <w:t>以下行为将会被判罚违例：提前启动机器人；机器人启动时未完全进入启动区；重启或改装机器人时未向裁判员申请；未在改装区域进行改装；手动控制阶段，观察手直接或间接接触机器人。</w:t>
      </w:r>
    </w:p>
    <w:p>
      <w:pPr>
        <w:pStyle w:val="63"/>
      </w:pPr>
      <w:r>
        <w:rPr>
          <w:rFonts w:hint="eastAsia"/>
        </w:rPr>
        <w:t>比赛期间道具的相关规则</w:t>
      </w:r>
    </w:p>
    <w:p>
      <w:pPr>
        <w:pStyle w:val="90"/>
        <w:ind w:firstLine="480"/>
      </w:pPr>
      <w:r>
        <w:rPr>
          <w:rFonts w:hint="eastAsia"/>
        </w:rPr>
        <w:t>单场比赛全程，得分道具在任意时刻的投影不得完全离开比赛场地。否则，</w:t>
      </w:r>
      <w:r>
        <w:t>在比赛期间</w:t>
      </w:r>
      <w:r>
        <w:rPr>
          <w:rFonts w:hint="eastAsia"/>
        </w:rPr>
        <w:t>该得分道具失效且无法再次被放回比赛场地内。</w:t>
      </w:r>
    </w:p>
    <w:p>
      <w:pPr>
        <w:pStyle w:val="90"/>
        <w:ind w:firstLine="480"/>
      </w:pPr>
      <w:r>
        <w:rPr>
          <w:rFonts w:hint="eastAsia"/>
        </w:rPr>
        <w:t>选手可以直接或间接接触完全进入手动装载区的方块类道具。</w:t>
      </w:r>
    </w:p>
    <w:p>
      <w:pPr>
        <w:pStyle w:val="90"/>
        <w:numPr>
          <w:ilvl w:val="0"/>
          <w:numId w:val="14"/>
        </w:numPr>
        <w:ind w:firstLineChars="0"/>
      </w:pPr>
      <w:r>
        <w:rPr>
          <w:rFonts w:hint="eastAsia"/>
        </w:rPr>
        <w:t>直接接触：选手身体的任意部位（包括头发、手等）、挂在身上的饰品或证件，与场上的道具存在接触，视为直接接触；</w:t>
      </w:r>
    </w:p>
    <w:p>
      <w:pPr>
        <w:pStyle w:val="90"/>
        <w:numPr>
          <w:ilvl w:val="0"/>
          <w:numId w:val="14"/>
        </w:numPr>
        <w:ind w:firstLineChars="0"/>
      </w:pPr>
      <w:r>
        <w:rPr>
          <w:rFonts w:hint="eastAsia"/>
        </w:rPr>
        <w:t>间接接触：参赛队员与机器人发生接触时，机器人与道具之间存在物理接触。</w:t>
      </w:r>
    </w:p>
    <w:p>
      <w:pPr>
        <w:pStyle w:val="90"/>
        <w:numPr>
          <w:ilvl w:val="0"/>
          <w:numId w:val="14"/>
        </w:numPr>
        <w:ind w:firstLineChars="0"/>
      </w:pPr>
      <w:r>
        <w:rPr>
          <w:rFonts w:hint="eastAsia"/>
        </w:rPr>
        <w:t>以下行为将会被判罚违例：比赛期间，参赛队员直接触碰场上得分道具或任务道具；参赛队员申请重启后取机器人时，与机器人发生接触的同时机器人与道具之间存在物理接触，即参赛队员间接接触得分道具或任务道具；</w:t>
      </w:r>
    </w:p>
    <w:p>
      <w:pPr>
        <w:pStyle w:val="90"/>
        <w:numPr>
          <w:ilvl w:val="0"/>
          <w:numId w:val="14"/>
        </w:numPr>
        <w:ind w:firstLineChars="0"/>
      </w:pPr>
      <w:r>
        <w:rPr>
          <w:rFonts w:hint="eastAsia"/>
        </w:rPr>
        <w:t>以下行为将会被判得分道具失效：比赛期间，参赛队员直接或间接接触得分道具，被接触的得分道具，将会失效被移出场地外。</w:t>
      </w:r>
    </w:p>
    <w:p>
      <w:pPr>
        <w:pStyle w:val="63"/>
      </w:pPr>
      <w:r>
        <w:rPr>
          <w:rFonts w:hint="eastAsia"/>
        </w:rPr>
        <w:t>比赛期间机器人活动范围</w:t>
      </w:r>
    </w:p>
    <w:p>
      <w:pPr>
        <w:pStyle w:val="90"/>
        <w:ind w:firstLine="480"/>
      </w:pPr>
      <w:bookmarkStart w:id="24" w:name="_Hlk149297305"/>
      <w:r>
        <w:rPr>
          <w:rFonts w:hint="eastAsia"/>
        </w:rPr>
        <w:t>自动控制阶段，机器人可在自动任务区内完成任务，机器人垂直投影可部分进入手动任务区；手动控制阶段，机器人需在手动任务区内完成任务，机器人的任意部分垂直投影均不可进入自动任务区。</w:t>
      </w:r>
      <w:bookmarkEnd w:id="24"/>
    </w:p>
    <w:p>
      <w:pPr>
        <w:pStyle w:val="90"/>
        <w:ind w:firstLine="480"/>
      </w:pPr>
      <w:r>
        <w:rPr>
          <w:rFonts w:hint="eastAsia"/>
        </w:rPr>
        <w:t>自动控制阶段时，机器人可在己方及联盟任务区进行活动。</w:t>
      </w:r>
    </w:p>
    <w:p>
      <w:pPr>
        <w:pStyle w:val="90"/>
        <w:numPr>
          <w:ilvl w:val="0"/>
          <w:numId w:val="14"/>
        </w:numPr>
        <w:ind w:firstLineChars="0"/>
      </w:pPr>
      <w:r>
        <w:rPr>
          <w:rFonts w:hint="eastAsia"/>
        </w:rPr>
        <w:t>以下行为将会被判罚违例：手动控制阶段，机器人垂直投影完全或部分进入自动任务区；自动控制阶段，己方机器人完全进入对方战队的独立任务区；</w:t>
      </w:r>
    </w:p>
    <w:p>
      <w:pPr>
        <w:pStyle w:val="90"/>
        <w:numPr>
          <w:ilvl w:val="0"/>
          <w:numId w:val="14"/>
        </w:numPr>
        <w:ind w:firstLineChars="0"/>
      </w:pPr>
      <w:r>
        <w:rPr>
          <w:rFonts w:hint="eastAsia"/>
        </w:rPr>
        <w:t>以下行为将会被判罚取消本场比赛资格：自动控制阶段，己方机器人进入对方战队独立任务区后，拒绝重启机器人；自动控制阶段，己方机器人多次进入（3次及以上）对方战队的独立任务区。</w:t>
      </w:r>
    </w:p>
    <w:p>
      <w:pPr>
        <w:pStyle w:val="63"/>
      </w:pPr>
      <w:r>
        <w:rPr>
          <w:rFonts w:hint="eastAsia"/>
        </w:rPr>
        <w:t>比赛期间电子通讯设备及编程工具的使用</w:t>
      </w:r>
    </w:p>
    <w:p>
      <w:pPr>
        <w:pStyle w:val="90"/>
        <w:ind w:firstLine="480"/>
      </w:pPr>
      <w:r>
        <w:rPr>
          <w:rFonts w:hint="eastAsia"/>
        </w:rPr>
        <w:t>选手仅可在手动控制阶段使用蓝牙手柄对己方机器人进行控制。</w:t>
      </w:r>
    </w:p>
    <w:p>
      <w:pPr>
        <w:pStyle w:val="90"/>
        <w:ind w:firstLine="480"/>
      </w:pPr>
      <w:r>
        <w:t>比赛期间，战队不</w:t>
      </w:r>
      <w:r>
        <w:rPr>
          <w:rFonts w:hint="eastAsia"/>
        </w:rPr>
        <w:t>允许</w:t>
      </w:r>
      <w:r>
        <w:t>携带电脑、平板等可用于编程的工具进入赛场</w:t>
      </w:r>
      <w:r>
        <w:rPr>
          <w:rFonts w:hint="eastAsia"/>
        </w:rPr>
        <w:t>区；比赛期间，战队不允许使用电子通讯设备（包括但不仅限于手机、对讲机等）。</w:t>
      </w:r>
    </w:p>
    <w:p>
      <w:pPr>
        <w:pStyle w:val="90"/>
        <w:numPr>
          <w:ilvl w:val="0"/>
          <w:numId w:val="14"/>
        </w:numPr>
        <w:ind w:firstLineChars="0"/>
      </w:pPr>
      <w:r>
        <w:rPr>
          <w:rFonts w:hint="eastAsia"/>
        </w:rPr>
        <w:t>以下行为将会被判罚取消本场比赛资格：携带编程工具进入赛场区，经裁判提醒，仍拒绝送至场外或继续使用；使用电子通讯设备，经裁判提醒，仍继续使用；自动控制阶段，使用蓝牙手柄操控机器人。</w:t>
      </w:r>
    </w:p>
    <w:p>
      <w:pPr>
        <w:pStyle w:val="63"/>
      </w:pPr>
      <w:r>
        <w:rPr>
          <w:rFonts w:hint="eastAsia"/>
        </w:rPr>
        <w:t>比赛期间场地相关规则</w:t>
      </w:r>
    </w:p>
    <w:p>
      <w:pPr>
        <w:pStyle w:val="90"/>
        <w:ind w:firstLine="480"/>
      </w:pPr>
      <w:r>
        <w:rPr>
          <w:rFonts w:hint="eastAsia"/>
        </w:rPr>
        <w:t>比赛期间，选手不可故意按压或撞击比赛场地。</w:t>
      </w:r>
      <w:r>
        <w:t xml:space="preserve"> </w:t>
      </w:r>
    </w:p>
    <w:p>
      <w:pPr>
        <w:pStyle w:val="90"/>
        <w:ind w:firstLine="480"/>
      </w:pPr>
      <w:r>
        <w:t>在比赛全过程中，参赛队员</w:t>
      </w:r>
      <w:r>
        <w:rPr>
          <w:rFonts w:hint="eastAsia"/>
        </w:rPr>
        <w:t>、机器人不得故意毁坏</w:t>
      </w:r>
      <w:r>
        <w:t>场地</w:t>
      </w:r>
      <w:r>
        <w:rPr>
          <w:rFonts w:hint="eastAsia"/>
        </w:rPr>
        <w:t>元素。</w:t>
      </w:r>
    </w:p>
    <w:p>
      <w:pPr>
        <w:pStyle w:val="90"/>
        <w:numPr>
          <w:ilvl w:val="0"/>
          <w:numId w:val="15"/>
        </w:numPr>
        <w:ind w:firstLineChars="0"/>
      </w:pPr>
      <w:r>
        <w:rPr>
          <w:rFonts w:hint="eastAsia"/>
        </w:rPr>
        <w:t>以下行为将会被判罚违例：故意撞击场地或按压场地；故意损毁场地元素；</w:t>
      </w:r>
    </w:p>
    <w:p>
      <w:pPr>
        <w:pStyle w:val="90"/>
        <w:numPr>
          <w:ilvl w:val="0"/>
          <w:numId w:val="15"/>
        </w:numPr>
        <w:ind w:firstLineChars="0"/>
      </w:pPr>
      <w:r>
        <w:rPr>
          <w:rFonts w:hint="eastAsia"/>
        </w:rPr>
        <w:t>如因此违例行为而获得得分优势，则该得分无效，与该行为相关的得分道具也将被移出场外。</w:t>
      </w:r>
    </w:p>
    <w:p>
      <w:pPr>
        <w:pStyle w:val="90"/>
        <w:numPr>
          <w:ilvl w:val="0"/>
          <w:numId w:val="0"/>
        </w:numPr>
        <w:rPr>
          <w:rFonts w:ascii="思源黑体 CN Heavy" w:hAnsi="思源黑体 CN Heavy" w:eastAsia="思源黑体 CN Heavy" w:cs="微软雅黑"/>
          <w:b/>
          <w:color w:val="2E75B6" w:themeColor="accent1" w:themeShade="BF"/>
          <w:lang w:val="en-US"/>
        </w:rPr>
      </w:pPr>
      <w:r>
        <w:rPr>
          <w:rFonts w:hint="eastAsia" w:ascii="思源黑体 CN Heavy" w:hAnsi="思源黑体 CN Heavy" w:eastAsia="思源黑体 CN Heavy" w:cs="微软雅黑"/>
          <w:b/>
          <w:color w:val="2E75B6" w:themeColor="accent1" w:themeShade="BF"/>
          <w:lang w:val="en-US"/>
        </w:rPr>
        <w:t>按时到达赛场</w:t>
      </w:r>
    </w:p>
    <w:p>
      <w:pPr>
        <w:pStyle w:val="90"/>
        <w:ind w:firstLine="480"/>
      </w:pPr>
      <w:r>
        <w:rPr>
          <w:rFonts w:hint="eastAsia"/>
        </w:rPr>
        <w:t>战队在实际比赛规定赛程中，需按照赛程，按时抵达赛场；如实际赛程有变化，则以现场通知赛程为准。</w:t>
      </w:r>
    </w:p>
    <w:p>
      <w:pPr>
        <w:pStyle w:val="90"/>
        <w:numPr>
          <w:ilvl w:val="0"/>
          <w:numId w:val="15"/>
        </w:numPr>
        <w:ind w:firstLineChars="0"/>
      </w:pPr>
      <w:r>
        <w:rPr>
          <w:rFonts w:hint="eastAsia"/>
        </w:rPr>
        <w:t>以下行为将会被判罚取消战队本场比赛资格：实际比赛规定赛程中，超过5分钟未抵达赛场。</w:t>
      </w:r>
    </w:p>
    <w:p>
      <w:pPr>
        <w:pStyle w:val="90"/>
        <w:numPr>
          <w:ilvl w:val="0"/>
          <w:numId w:val="15"/>
        </w:numPr>
        <w:ind w:firstLineChars="0"/>
      </w:pPr>
      <w:r>
        <w:rPr>
          <w:rFonts w:hint="eastAsia"/>
        </w:rPr>
        <w:t>以下行为将会被判罚取消全场比赛成绩：战队报到检录后，无法继续参赛。该战队涉及到的比赛场次照常比赛</w:t>
      </w:r>
    </w:p>
    <w:p>
      <w:pPr>
        <w:pStyle w:val="63"/>
      </w:pPr>
      <w:r>
        <w:rPr>
          <w:rFonts w:hint="eastAsia"/>
        </w:rPr>
        <w:t>场外</w:t>
      </w:r>
      <w:r>
        <w:t>指导</w:t>
      </w:r>
    </w:p>
    <w:p>
      <w:pPr>
        <w:pStyle w:val="90"/>
        <w:ind w:firstLine="480"/>
      </w:pPr>
      <w:r>
        <w:rPr>
          <w:rFonts w:hint="eastAsia"/>
        </w:rPr>
        <w:t>比赛过程中，不得出现赛场外的指导行为。</w:t>
      </w:r>
    </w:p>
    <w:p>
      <w:pPr>
        <w:pStyle w:val="90"/>
        <w:numPr>
          <w:ilvl w:val="0"/>
          <w:numId w:val="15"/>
        </w:numPr>
        <w:ind w:firstLineChars="0"/>
      </w:pPr>
      <w:r>
        <w:rPr>
          <w:rFonts w:hint="eastAsia"/>
        </w:rPr>
        <w:t>违规判罚：首次给予口头警告，二次违规将判罚违例，情况严重者取消战队本场比赛资格。</w:t>
      </w:r>
    </w:p>
    <w:p>
      <w:pPr>
        <w:pStyle w:val="63"/>
      </w:pPr>
      <w:r>
        <w:t>过分行为</w:t>
      </w:r>
    </w:p>
    <w:p>
      <w:pPr>
        <w:pStyle w:val="90"/>
        <w:ind w:firstLine="480"/>
      </w:pPr>
      <w:r>
        <w:rPr>
          <w:rFonts w:hint="eastAsia"/>
        </w:rPr>
        <w:t>在全场比赛期间，出现包括但不限于以下情形的，情节恶劣者裁判有权取消全场比赛成绩：</w:t>
      </w:r>
    </w:p>
    <w:p>
      <w:pPr>
        <w:pStyle w:val="30"/>
        <w:numPr>
          <w:ilvl w:val="0"/>
          <w:numId w:val="16"/>
        </w:numPr>
      </w:pPr>
      <w:r>
        <w:t>不礼貌行为（辱骂，脏话，肢体接触）。</w:t>
      </w:r>
    </w:p>
    <w:p>
      <w:pPr>
        <w:pStyle w:val="30"/>
        <w:numPr>
          <w:ilvl w:val="0"/>
          <w:numId w:val="16"/>
        </w:numPr>
      </w:pPr>
      <w:r>
        <w:t>严重影响比赛场地</w:t>
      </w:r>
      <w:r>
        <w:rPr>
          <w:rFonts w:hint="eastAsia"/>
        </w:rPr>
        <w:t>、</w:t>
      </w:r>
      <w:r>
        <w:t>观众安全导致比赛无法正常进行。</w:t>
      </w:r>
    </w:p>
    <w:p>
      <w:pPr>
        <w:pStyle w:val="30"/>
        <w:numPr>
          <w:ilvl w:val="0"/>
          <w:numId w:val="16"/>
        </w:numPr>
      </w:pPr>
      <w:r>
        <w:t>严重违反竞赛精神（作弊）。</w:t>
      </w:r>
    </w:p>
    <w:p>
      <w:pPr>
        <w:pStyle w:val="30"/>
        <w:numPr>
          <w:ilvl w:val="0"/>
          <w:numId w:val="16"/>
        </w:numPr>
      </w:pPr>
      <w:r>
        <w:t>重复或无视裁判警告，公然违例。</w:t>
      </w:r>
    </w:p>
    <w:p>
      <w:pPr>
        <w:pStyle w:val="30"/>
        <w:numPr>
          <w:ilvl w:val="0"/>
          <w:numId w:val="16"/>
        </w:numPr>
      </w:pPr>
      <w:r>
        <w:rPr>
          <w:rFonts w:hint="eastAsia"/>
        </w:rPr>
        <w:t>恶意投诉</w:t>
      </w:r>
    </w:p>
    <w:p>
      <w:pPr>
        <w:pStyle w:val="63"/>
      </w:pPr>
      <w:r>
        <w:rPr>
          <w:rFonts w:hint="eastAsia"/>
        </w:rPr>
        <w:t>异常状态</w:t>
      </w:r>
    </w:p>
    <w:p>
      <w:pPr>
        <w:pStyle w:val="90"/>
        <w:ind w:firstLine="480"/>
      </w:pPr>
      <w:r>
        <w:rPr>
          <w:rFonts w:hint="eastAsia"/>
        </w:rPr>
        <w:t>当出现包括但不限于如下状态时：</w:t>
      </w:r>
    </w:p>
    <w:p>
      <w:pPr>
        <w:pStyle w:val="90"/>
        <w:numPr>
          <w:ilvl w:val="0"/>
          <w:numId w:val="17"/>
        </w:numPr>
        <w:ind w:firstLineChars="0"/>
      </w:pPr>
      <w:r>
        <w:t>安全隐患：赛场内出现关于场地、参赛队员和机器人的安全隐患。</w:t>
      </w:r>
    </w:p>
    <w:p>
      <w:pPr>
        <w:pStyle w:val="90"/>
        <w:numPr>
          <w:ilvl w:val="0"/>
          <w:numId w:val="17"/>
        </w:numPr>
        <w:ind w:firstLineChars="0"/>
      </w:pPr>
      <w:r>
        <w:t>场地道具缺失或损坏：比赛场地和场地道具的缺失或损坏导致无法正常进行比赛。</w:t>
      </w:r>
    </w:p>
    <w:p>
      <w:pPr>
        <w:pStyle w:val="90"/>
        <w:numPr>
          <w:ilvl w:val="0"/>
          <w:numId w:val="17"/>
        </w:numPr>
        <w:ind w:firstLineChars="0"/>
      </w:pPr>
      <w:r>
        <w:t>重赛：重赛将由裁判根据实际情况慎重讨论决定。</w:t>
      </w:r>
    </w:p>
    <w:p>
      <w:pPr>
        <w:pStyle w:val="63"/>
      </w:pPr>
      <w:r>
        <w:rPr>
          <w:rFonts w:hint="eastAsia"/>
        </w:rPr>
        <w:t>场地、道具不确定性</w:t>
      </w:r>
    </w:p>
    <w:p>
      <w:pPr>
        <w:pStyle w:val="90"/>
        <w:ind w:firstLine="480"/>
        <w:rPr>
          <w:sz w:val="21"/>
          <w:szCs w:val="21"/>
        </w:rPr>
      </w:pPr>
      <w:r>
        <w:t>在</w:t>
      </w:r>
      <w:r>
        <w:rPr>
          <w:rFonts w:hint="eastAsia"/>
        </w:rPr>
        <w:t>由于生产和加工的不确定性，所有道具及场地将存在不可避免的细微误差（尺寸、重量、颜色、平整度等）。战队在设计搭建机器人时，须考虑此误差因素，适应不同道具及场地。如现场有其他适配道具，选手可在赛前申请替换。机器人应该能够适应如场地褶皱、灯光变化等不可改变的因素，凡因这些不可改变因素产生的机器人表现差异，战队应自行完成针对性调试。</w:t>
      </w:r>
    </w:p>
    <w:p>
      <w:pPr>
        <w:pStyle w:val="36"/>
        <w:numPr>
          <w:ilvl w:val="0"/>
          <w:numId w:val="0"/>
        </w:numPr>
        <w:spacing w:line="240" w:lineRule="auto"/>
      </w:pPr>
      <w:bookmarkStart w:id="25" w:name="_Toc149299907"/>
      <w:r>
        <w:drawing>
          <wp:anchor distT="0" distB="0" distL="114300" distR="114300" simplePos="0" relativeHeight="251704320" behindDoc="0" locked="0" layoutInCell="1" allowOverlap="1">
            <wp:simplePos x="0" y="0"/>
            <wp:positionH relativeFrom="margin">
              <wp:align>right</wp:align>
            </wp:positionH>
            <wp:positionV relativeFrom="paragraph">
              <wp:posOffset>640080</wp:posOffset>
            </wp:positionV>
            <wp:extent cx="4995545" cy="3847465"/>
            <wp:effectExtent l="0" t="0" r="0" b="635"/>
            <wp:wrapTopAndBottom/>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51" cstate="print">
                      <a:extLst>
                        <a:ext uri="{28A0092B-C50C-407E-A947-70E740481C1C}">
                          <a14:useLocalDpi xmlns:a14="http://schemas.microsoft.com/office/drawing/2010/main" val="0"/>
                        </a:ext>
                      </a:extLst>
                    </a:blip>
                    <a:srcRect l="12150" t="7961" r="10454" b="7649"/>
                    <a:stretch>
                      <a:fillRect/>
                    </a:stretch>
                  </pic:blipFill>
                  <pic:spPr>
                    <a:xfrm>
                      <a:off x="0" y="0"/>
                      <a:ext cx="4995545" cy="3847465"/>
                    </a:xfrm>
                    <a:prstGeom prst="rect">
                      <a:avLst/>
                    </a:prstGeom>
                    <a:ln>
                      <a:noFill/>
                    </a:ln>
                  </pic:spPr>
                </pic:pic>
              </a:graphicData>
            </a:graphic>
          </wp:anchor>
        </w:drawing>
      </w:r>
      <w:r>
        <w:rPr>
          <w:rFonts w:hint="eastAsia"/>
        </w:rPr>
        <w:t>附录：</w:t>
      </w:r>
      <w:bookmarkStart w:id="26" w:name="_Toc498182041"/>
      <w:bookmarkEnd w:id="26"/>
      <w:bookmarkStart w:id="27" w:name="_Toc498182039"/>
      <w:bookmarkEnd w:id="27"/>
      <w:bookmarkStart w:id="28" w:name="_Toc482311778"/>
      <w:bookmarkEnd w:id="28"/>
      <w:r>
        <w:rPr>
          <w:rFonts w:hint="eastAsia"/>
        </w:rPr>
        <w:t>参考计分表</w:t>
      </w:r>
      <w:bookmarkEnd w:id="25"/>
    </w:p>
    <w:p>
      <w:pPr>
        <w:pStyle w:val="36"/>
        <w:numPr>
          <w:ilvl w:val="0"/>
          <w:numId w:val="0"/>
        </w:numPr>
        <w:spacing w:line="240" w:lineRule="auto"/>
      </w:pPr>
      <w:r>
        <w:drawing>
          <wp:inline distT="0" distB="0" distL="0" distR="0">
            <wp:extent cx="5331460" cy="4104640"/>
            <wp:effectExtent l="0" t="0" r="254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52"/>
                    <a:srcRect l="11252" t="8597" r="11577" b="7317"/>
                    <a:stretch>
                      <a:fillRect/>
                    </a:stretch>
                  </pic:blipFill>
                  <pic:spPr>
                    <a:xfrm>
                      <a:off x="0" y="0"/>
                      <a:ext cx="5332021" cy="4104934"/>
                    </a:xfrm>
                    <a:prstGeom prst="rect">
                      <a:avLst/>
                    </a:prstGeom>
                    <a:ln>
                      <a:noFill/>
                    </a:ln>
                  </pic:spPr>
                </pic:pic>
              </a:graphicData>
            </a:graphic>
          </wp:inline>
        </w:drawing>
      </w:r>
    </w:p>
    <w:sectPr>
      <w:headerReference r:id="rId7" w:type="first"/>
      <w:footerReference r:id="rId10" w:type="first"/>
      <w:headerReference r:id="rId5" w:type="default"/>
      <w:footerReference r:id="rId8" w:type="default"/>
      <w:headerReference r:id="rId6" w:type="even"/>
      <w:footerReference r:id="rId9" w:type="even"/>
      <w:pgSz w:w="11906" w:h="16838"/>
      <w:pgMar w:top="1440" w:right="1797" w:bottom="1440" w:left="1797" w:header="851" w:footer="992" w:gutter="0"/>
      <w:pgNumType w:start="1"/>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w:panose1 w:val="020B0604020202020204"/>
    <w:charset w:val="00"/>
    <w:family w:val="auto"/>
    <w:pitch w:val="default"/>
    <w:sig w:usb0="E0002EFF" w:usb1="C000785B" w:usb2="00000009" w:usb3="00000000" w:csb0="400001FF" w:csb1="FFFF0000"/>
  </w:font>
  <w:font w:name="等线">
    <w:panose1 w:val="02010600030101010101"/>
    <w:charset w:val="86"/>
    <w:family w:val="auto"/>
    <w:pitch w:val="default"/>
    <w:sig w:usb0="A00002BF" w:usb1="38CF7CFA" w:usb2="00000016" w:usb3="00000000" w:csb0="0004000F" w:csb1="00000000"/>
  </w:font>
  <w:font w:name="思源黑体 CN Regular">
    <w:altName w:val="微软雅黑"/>
    <w:panose1 w:val="020B0500000000000000"/>
    <w:charset w:val="86"/>
    <w:family w:val="swiss"/>
    <w:pitch w:val="default"/>
    <w:sig w:usb0="00000000" w:usb1="00000000" w:usb2="00000016" w:usb3="00000000" w:csb0="00060107" w:csb1="00000000"/>
  </w:font>
  <w:font w:name="微软雅黑">
    <w:panose1 w:val="020B0503020204020204"/>
    <w:charset w:val="86"/>
    <w:family w:val="swiss"/>
    <w:pitch w:val="default"/>
    <w:sig w:usb0="80000287" w:usb1="2ACF3C50" w:usb2="00000016" w:usb3="00000000" w:csb0="0004001F" w:csb1="00000000"/>
  </w:font>
  <w:font w:name="等线 Light">
    <w:panose1 w:val="02010600030101010101"/>
    <w:charset w:val="86"/>
    <w:family w:val="auto"/>
    <w:pitch w:val="default"/>
    <w:sig w:usb0="A00002BF" w:usb1="38CF7CFA" w:usb2="00000016" w:usb3="00000000" w:csb0="0004000F" w:csb1="00000000"/>
  </w:font>
  <w:font w:name="思源黑体 CN Heavy">
    <w:altName w:val="黑体"/>
    <w:panose1 w:val="020B0A00000000000000"/>
    <w:charset w:val="86"/>
    <w:family w:val="swiss"/>
    <w:pitch w:val="default"/>
    <w:sig w:usb0="00000000" w:usb1="00000000" w:usb2="00000016" w:usb3="00000000" w:csb0="00060107" w:csb1="00000000"/>
  </w:font>
  <w:font w:name="Lucida Grande">
    <w:altName w:val="Courier New"/>
    <w:panose1 w:val="00000000000000000000"/>
    <w:charset w:val="00"/>
    <w:family w:val="swiss"/>
    <w:pitch w:val="default"/>
    <w:sig w:usb0="00000000" w:usb1="00000000" w:usb2="00000000" w:usb3="00000000" w:csb0="000001BF" w:csb1="00000000"/>
  </w:font>
  <w:font w:name="MS Mincho">
    <w:panose1 w:val="02020609040205080304"/>
    <w:charset w:val="80"/>
    <w:family w:val="modern"/>
    <w:pitch w:val="default"/>
    <w:sig w:usb0="A00002BF" w:usb1="68C7FCFB" w:usb2="00000010"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tabs>
        <w:tab w:val="center" w:pos="4156"/>
        <w:tab w:val="left" w:pos="5640"/>
        <w:tab w:val="clear" w:pos="4153"/>
        <w:tab w:val="clear" w:pos="8306"/>
      </w:tabs>
      <w:rPr>
        <w:b/>
        <w:color w:val="50B0CA"/>
        <w:sz w:val="21"/>
      </w:rPr>
    </w:pPr>
    <w:r>
      <w:drawing>
        <wp:anchor distT="0" distB="0" distL="114300" distR="114300" simplePos="0" relativeHeight="251665408" behindDoc="1" locked="0" layoutInCell="1" allowOverlap="1">
          <wp:simplePos x="0" y="0"/>
          <wp:positionH relativeFrom="margin">
            <wp:align>left</wp:align>
          </wp:positionH>
          <wp:positionV relativeFrom="paragraph">
            <wp:posOffset>-47625</wp:posOffset>
          </wp:positionV>
          <wp:extent cx="5266690" cy="377190"/>
          <wp:effectExtent l="0" t="0" r="0" b="0"/>
          <wp:wrapNone/>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5266707" cy="377279"/>
                  </a:xfrm>
                  <a:prstGeom prst="rect">
                    <a:avLst/>
                  </a:prstGeom>
                </pic:spPr>
              </pic:pic>
            </a:graphicData>
          </a:graphic>
        </wp:anchor>
      </w:drawing>
    </w:r>
    <w:r>
      <w:tab/>
    </w:r>
    <w:sdt>
      <w:sdtPr>
        <w:id w:val="1547793488"/>
        <w:docPartObj>
          <w:docPartGallery w:val="autotext"/>
        </w:docPartObj>
      </w:sdtPr>
      <w:sdtEndPr>
        <w:rPr>
          <w:b/>
          <w:color w:val="50B0CA"/>
          <w:sz w:val="21"/>
        </w:rPr>
      </w:sdtEndPr>
      <w:sdtContent>
        <w:r>
          <w:rPr>
            <w:rFonts w:eastAsia="微软雅黑"/>
            <w:b/>
            <w:color w:val="D64B40"/>
            <w:sz w:val="21"/>
          </w:rPr>
          <w:fldChar w:fldCharType="begin"/>
        </w:r>
        <w:r>
          <w:rPr>
            <w:rFonts w:eastAsia="微软雅黑"/>
            <w:b/>
            <w:color w:val="D64B40"/>
            <w:sz w:val="21"/>
          </w:rPr>
          <w:instrText xml:space="preserve"> PAGE   \* MERGEFORMAT </w:instrText>
        </w:r>
        <w:r>
          <w:rPr>
            <w:rFonts w:eastAsia="微软雅黑"/>
            <w:b/>
            <w:color w:val="D64B40"/>
            <w:sz w:val="21"/>
          </w:rPr>
          <w:fldChar w:fldCharType="separate"/>
        </w:r>
        <w:r>
          <w:rPr>
            <w:rFonts w:eastAsia="微软雅黑"/>
            <w:b/>
            <w:color w:val="D64B40"/>
            <w:sz w:val="21"/>
          </w:rPr>
          <w:t>38</w:t>
        </w:r>
        <w:r>
          <w:rPr>
            <w:rFonts w:eastAsia="微软雅黑"/>
            <w:b/>
            <w:color w:val="D64B40"/>
            <w:sz w:val="21"/>
          </w:rPr>
          <w:fldChar w:fldCharType="end"/>
        </w:r>
      </w:sdtContent>
    </w:sdt>
    <w:r>
      <w:rPr>
        <w:b/>
        <w:color w:val="50B0CA"/>
        <w:sz w:val="21"/>
      </w:rP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026247665"/>
      <w:docPartObj>
        <w:docPartGallery w:val="autotext"/>
      </w:docPartObj>
    </w:sdtPr>
    <w:sdtContent>
      <w:p>
        <w:pPr>
          <w:pStyle w:val="10"/>
          <w:jc w:val="center"/>
          <w:rPr>
            <w:rFonts w:eastAsia="微软雅黑"/>
          </w:rPr>
        </w:pPr>
        <w:r>
          <w:rPr>
            <w:rFonts w:eastAsia="微软雅黑"/>
          </w:rPr>
          <w:fldChar w:fldCharType="begin"/>
        </w:r>
        <w:r>
          <w:rPr>
            <w:rFonts w:eastAsia="微软雅黑"/>
          </w:rPr>
          <w:instrText xml:space="preserve"> PAGE   \* MERGEFORMAT </w:instrText>
        </w:r>
        <w:r>
          <w:rPr>
            <w:rFonts w:eastAsia="微软雅黑"/>
          </w:rPr>
          <w:fldChar w:fldCharType="separate"/>
        </w:r>
        <w:r>
          <w:rPr>
            <w:rFonts w:eastAsia="微软雅黑"/>
          </w:rPr>
          <w:t>47</w:t>
        </w:r>
        <w:r>
          <w:rPr>
            <w:rFonts w:eastAsia="微软雅黑"/>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772739916"/>
      <w:docPartObj>
        <w:docPartGallery w:val="autotext"/>
      </w:docPartObj>
    </w:sdtPr>
    <w:sdtContent>
      <w:p>
        <w:pPr>
          <w:pStyle w:val="10"/>
          <w:jc w:val="center"/>
        </w:pPr>
        <w:r>
          <w:fldChar w:fldCharType="begin"/>
        </w:r>
        <w:r>
          <w:instrText xml:space="preserve"> PAGE   \* MERGEFORMAT </w:instrText>
        </w:r>
        <w:r>
          <w:fldChar w:fldCharType="separate"/>
        </w:r>
        <w:r>
          <w:t>1</w:t>
        </w:r>
        <w:r>
          <w:fldChar w:fldCharType="end"/>
        </w:r>
      </w:p>
    </w:sdtContent>
  </w:sdt>
  <w:p>
    <w:pPr>
      <w:pStyle w:val="1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jc w:val="left"/>
      <w:rPr>
        <w:rFonts w:ascii="Times New Roman" w:hAnsi="Times New Roman" w:eastAsia="Times New Roman" w:cs="Times New Roman"/>
        <w:color w:val="D64B40"/>
        <w:kern w:val="0"/>
      </w:rPr>
    </w:pPr>
    <w:r>
      <w:rPr>
        <w:b/>
        <w:bCs/>
        <w:color w:val="D64B40"/>
        <w:sz w:val="18"/>
        <w:szCs w:val="18"/>
      </w:rPr>
      <w:drawing>
        <wp:anchor distT="0" distB="0" distL="114300" distR="114300" simplePos="0" relativeHeight="251664384" behindDoc="1" locked="0" layoutInCell="1" allowOverlap="1">
          <wp:simplePos x="0" y="0"/>
          <wp:positionH relativeFrom="column">
            <wp:posOffset>-3175</wp:posOffset>
          </wp:positionH>
          <wp:positionV relativeFrom="paragraph">
            <wp:posOffset>0</wp:posOffset>
          </wp:positionV>
          <wp:extent cx="5269230" cy="374650"/>
          <wp:effectExtent l="0" t="0" r="0" b="6985"/>
          <wp:wrapNone/>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5269467" cy="374649"/>
                  </a:xfrm>
                  <a:prstGeom prst="rect">
                    <a:avLst/>
                  </a:prstGeom>
                  <a:noFill/>
                  <a:ln>
                    <a:noFill/>
                  </a:ln>
                </pic:spPr>
              </pic:pic>
            </a:graphicData>
          </a:graphic>
        </wp:anchor>
      </w:drawing>
    </w:r>
    <w:r>
      <w:rPr>
        <w:rFonts w:cs="Lucida Grande"/>
        <w:b/>
        <w:bCs/>
        <w:color w:val="D64B40"/>
        <w:kern w:val="0"/>
        <w:sz w:val="18"/>
        <w:szCs w:val="18"/>
        <w:shd w:val="clear" w:color="auto" w:fill="FFFFFF"/>
      </w:rPr>
      <w:t>MakeX</w:t>
    </w:r>
    <w:r>
      <w:rPr>
        <w:rFonts w:cs="MS Mincho"/>
        <w:b/>
        <w:bCs/>
        <w:color w:val="D64B40"/>
        <w:kern w:val="0"/>
        <w:sz w:val="18"/>
        <w:szCs w:val="18"/>
        <w:shd w:val="clear" w:color="auto" w:fill="FFFFFF"/>
      </w:rPr>
      <w:t>机器人挑</w:t>
    </w:r>
    <w:r>
      <w:rPr>
        <w:rFonts w:cs="宋体"/>
        <w:b/>
        <w:bCs/>
        <w:color w:val="D64B40"/>
        <w:kern w:val="0"/>
        <w:sz w:val="18"/>
        <w:szCs w:val="18"/>
        <w:shd w:val="clear" w:color="auto" w:fill="FFFFFF"/>
      </w:rPr>
      <w:t>战赛</w:t>
    </w:r>
    <w:r>
      <w:rPr>
        <w:rFonts w:ascii="宋体" w:hAnsi="宋体" w:eastAsia="宋体" w:cs="宋体"/>
        <w:color w:val="000000"/>
        <w:kern w:val="0"/>
        <w:sz w:val="18"/>
        <w:szCs w:val="18"/>
        <w:shd w:val="clear" w:color="auto" w:fill="FFFFFF"/>
      </w:rPr>
      <w:t xml:space="preserve"> </w:t>
    </w:r>
    <w:r>
      <w:ptab w:relativeTo="margin" w:alignment="center" w:leader="none"/>
    </w:r>
    <w:r>
      <w:ptab w:relativeTo="margin" w:alignment="right" w:leader="none"/>
    </w:r>
    <w:r>
      <w:rPr>
        <w:rFonts w:hint="eastAsia" w:cs="宋体"/>
        <w:b/>
        <w:color w:val="D64B40"/>
        <w:kern w:val="0"/>
        <w:sz w:val="18"/>
        <w:szCs w:val="18"/>
        <w:shd w:val="clear" w:color="auto" w:fill="FFFFFF"/>
      </w:rPr>
      <w:t>全芯征途</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left"/>
      <w:rPr>
        <w:rFonts w:eastAsia="微软雅黑"/>
        <w:sz w:val="18"/>
      </w:rPr>
    </w:pPr>
    <w:r>
      <w:rPr>
        <w:sz w:val="18"/>
      </w:rPr>
      <w:pict>
        <v:shape id="WordPictureWatermark106075504" o:spid="_x0000_s2120" o:spt="75" type="#_x0000_t75" style="position:absolute;left:0pt;height:476.35pt;width:673.5pt;mso-position-horizontal:center;mso-position-horizontal-relative:margin;mso-position-vertical:center;mso-position-vertical-relative:margin;z-index:-251654144;mso-width-relative:page;mso-height-relative:page;" filled="f" o:preferrelative="t" stroked="f" coordsize="21600,21600" o:allowincell="f">
          <v:path/>
          <v:fill on="f" focussize="0,0"/>
          <v:stroke on="f" joinstyle="miter"/>
          <v:imagedata r:id="rId1" gain="19661f" blacklevel="22938f" o:title="1"/>
          <o:lock v:ext="edit" aspectratio="t"/>
        </v:shape>
      </w:pict>
    </w:r>
    <w:r>
      <w:rPr>
        <w:sz w:val="18"/>
      </w:rPr>
      <w:pict>
        <v:shape id="_x0000_s2074" o:spid="_x0000_s2074" o:spt="75" type="#_x0000_t75" style="position:absolute;left:0pt;height:107.95pt;width:415.45pt;mso-position-horizontal:center;mso-position-horizontal-relative:margin;mso-position-vertical:center;mso-position-vertical-relative:margin;z-index:-251653120;mso-width-relative:page;mso-height-relative:page;" filled="f" o:preferrelative="t" stroked="f" coordsize="21600,21600" o:allowincell="f">
          <v:path/>
          <v:fill on="f" focussize="0,0"/>
          <v:stroke on="f" joinstyle="miter"/>
          <v:imagedata r:id="rId2" gain="19661f" blacklevel="22938f" o:title="1"/>
          <o:lock v:ext="edit" aspectratio="t"/>
        </v:shape>
      </w:pict>
    </w:r>
    <w:r>
      <w:rPr>
        <w:sz w:val="18"/>
      </w:rPr>
      <w:t>M</w:t>
    </w:r>
    <w:r>
      <w:rPr>
        <w:rFonts w:hint="eastAsia"/>
        <w:sz w:val="18"/>
      </w:rPr>
      <w:t>ake</w:t>
    </w:r>
    <w:r>
      <w:rPr>
        <w:sz w:val="18"/>
      </w:rPr>
      <w:t>X</w:t>
    </w:r>
    <w:r>
      <w:rPr>
        <w:rFonts w:hint="eastAsia" w:eastAsia="思源黑体 CN Heavy"/>
        <w:sz w:val="18"/>
      </w:rPr>
      <w:t>机器人</w:t>
    </w:r>
    <w:r>
      <w:rPr>
        <w:rFonts w:hint="eastAsia"/>
        <w:sz w:val="18"/>
      </w:rPr>
      <w:t>挑战赛—智慧交通技术手册</w:t>
    </w:r>
    <w:r>
      <w:rPr>
        <w:rFonts w:eastAsia="微软雅黑"/>
        <w:sz w:val="18"/>
      </w:rPr>
      <w:drawing>
        <wp:anchor distT="0" distB="0" distL="114300" distR="114300" simplePos="0" relativeHeight="251659264" behindDoc="1" locked="0" layoutInCell="0" allowOverlap="1">
          <wp:simplePos x="0" y="0"/>
          <wp:positionH relativeFrom="margin">
            <wp:align>center</wp:align>
          </wp:positionH>
          <wp:positionV relativeFrom="margin">
            <wp:align>center</wp:align>
          </wp:positionV>
          <wp:extent cx="5273675" cy="1370330"/>
          <wp:effectExtent l="0" t="0" r="0" b="0"/>
          <wp:wrapNone/>
          <wp:docPr id="59" name="Picture 59" descr="mak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makex"/>
                  <pic:cNvPicPr>
                    <a:picLocks noChangeAspect="1" noChangeArrowheads="1"/>
                  </pic:cNvPicPr>
                </pic:nvPicPr>
                <pic:blipFill>
                  <a:blip r:embed="rId3">
                    <a:lum bright="70000" contrast="-70000"/>
                    <a:extLst>
                      <a:ext uri="{28A0092B-C50C-407E-A947-70E740481C1C}">
                        <a14:useLocalDpi xmlns:a14="http://schemas.microsoft.com/office/drawing/2010/main" val="0"/>
                      </a:ext>
                    </a:extLst>
                  </a:blip>
                  <a:srcRect/>
                  <a:stretch>
                    <a:fillRect/>
                  </a:stretch>
                </pic:blipFill>
                <pic:spPr>
                  <a:xfrm>
                    <a:off x="0" y="0"/>
                    <a:ext cx="5273675" cy="1370330"/>
                  </a:xfrm>
                  <a:prstGeom prst="rect">
                    <a:avLst/>
                  </a:prstGeom>
                  <a:noFill/>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left"/>
      <w:rPr>
        <w:rFonts w:eastAsia="微软雅黑"/>
      </w:rPr>
    </w:pPr>
    <w:r>
      <w:pict>
        <v:shape id="WordPictureWatermark106075503" o:spid="_x0000_s2119" o:spt="75" type="#_x0000_t75" style="position:absolute;left:0pt;height:476.35pt;width:673.5pt;mso-position-horizontal:center;mso-position-horizontal-relative:margin;mso-position-vertical:center;mso-position-vertical-relative:margin;z-index:-251656192;mso-width-relative:page;mso-height-relative:page;" filled="f" o:preferrelative="t" stroked="f" coordsize="21600,21600" o:allowincell="f">
          <v:path/>
          <v:fill on="f" focussize="0,0"/>
          <v:stroke on="f" joinstyle="miter"/>
          <v:imagedata r:id="rId1" gain="19661f" blacklevel="22938f" o:title="1"/>
          <o:lock v:ext="edit" aspectratio="t"/>
        </v:shape>
      </w:pict>
    </w:r>
    <w:r>
      <w:t>M</w:t>
    </w:r>
    <w:r>
      <w:rPr>
        <w:rFonts w:hint="eastAsia"/>
      </w:rPr>
      <w:t>ake</w:t>
    </w:r>
    <w:r>
      <w:t>X</w:t>
    </w:r>
    <w:r>
      <w:rPr>
        <w:rFonts w:hint="eastAsia" w:eastAsia="思源黑体 CN Heavy"/>
      </w:rPr>
      <w:t>机器人</w:t>
    </w:r>
    <w:r>
      <w:rPr>
        <w:rFonts w:hint="eastAsia"/>
      </w:rPr>
      <w:t>挑战赛—智慧交通技术手册</w:t>
    </w:r>
    <w:r>
      <w:rPr>
        <w:rFonts w:eastAsia="微软雅黑"/>
      </w:rPr>
      <w:pict>
        <v:shape id="_x0000_s2057" o:spid="_x0000_s2057" o:spt="75" type="#_x0000_t75" style="position:absolute;left:0pt;height:107.9pt;width:415.25pt;mso-position-horizontal:center;mso-position-horizontal-relative:margin;mso-position-vertical:center;mso-position-vertical-relative:margin;z-index:-251655168;mso-width-relative:page;mso-height-relative:page;" filled="f" o:preferrelative="t" stroked="f" coordsize="21600,21600" o:allowincell="f">
          <v:path/>
          <v:fill on="f" focussize="0,0"/>
          <v:stroke on="f" joinstyle="miter"/>
          <v:imagedata r:id="rId2" gain="19661f" blacklevel="22938f" o:title="makex"/>
          <o:lock v:ext="edit" aspectratio="t"/>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5BF319E"/>
    <w:multiLevelType w:val="multilevel"/>
    <w:tmpl w:val="05BF319E"/>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
    <w:nsid w:val="07A92123"/>
    <w:multiLevelType w:val="multilevel"/>
    <w:tmpl w:val="07A92123"/>
    <w:lvl w:ilvl="0" w:tentative="0">
      <w:start w:val="1"/>
      <w:numFmt w:val="decimal"/>
      <w:pStyle w:val="36"/>
      <w:lvlText w:val="%1. "/>
      <w:lvlJc w:val="left"/>
      <w:pPr>
        <w:ind w:left="420" w:hanging="420"/>
      </w:pPr>
      <w:rPr>
        <w:rFonts w:hint="eastAsia"/>
      </w:rPr>
    </w:lvl>
    <w:lvl w:ilvl="1" w:tentative="0">
      <w:start w:val="1"/>
      <w:numFmt w:val="decimal"/>
      <w:pStyle w:val="33"/>
      <w:lvlText w:val="%1.%2"/>
      <w:lvlJc w:val="left"/>
      <w:pPr>
        <w:ind w:left="704"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2">
    <w:nsid w:val="0A9E0322"/>
    <w:multiLevelType w:val="multilevel"/>
    <w:tmpl w:val="0A9E0322"/>
    <w:lvl w:ilvl="0" w:tentative="0">
      <w:start w:val="1"/>
      <w:numFmt w:val="bullet"/>
      <w:lvlText w:val=""/>
      <w:lvlJc w:val="left"/>
      <w:pPr>
        <w:ind w:left="1680" w:hanging="420"/>
      </w:pPr>
      <w:rPr>
        <w:rFonts w:hint="default" w:ascii="Wingdings" w:hAnsi="Wingdings"/>
      </w:rPr>
    </w:lvl>
    <w:lvl w:ilvl="1" w:tentative="0">
      <w:start w:val="1"/>
      <w:numFmt w:val="bullet"/>
      <w:lvlText w:val=""/>
      <w:lvlJc w:val="left"/>
      <w:pPr>
        <w:ind w:left="2100" w:hanging="420"/>
      </w:pPr>
      <w:rPr>
        <w:rFonts w:hint="default" w:ascii="Wingdings" w:hAnsi="Wingdings"/>
      </w:rPr>
    </w:lvl>
    <w:lvl w:ilvl="2" w:tentative="0">
      <w:start w:val="1"/>
      <w:numFmt w:val="bullet"/>
      <w:lvlText w:val=""/>
      <w:lvlJc w:val="left"/>
      <w:pPr>
        <w:ind w:left="2520" w:hanging="420"/>
      </w:pPr>
      <w:rPr>
        <w:rFonts w:hint="default" w:ascii="Wingdings" w:hAnsi="Wingdings"/>
      </w:rPr>
    </w:lvl>
    <w:lvl w:ilvl="3" w:tentative="0">
      <w:start w:val="1"/>
      <w:numFmt w:val="bullet"/>
      <w:lvlText w:val=""/>
      <w:lvlJc w:val="left"/>
      <w:pPr>
        <w:ind w:left="2940" w:hanging="420"/>
      </w:pPr>
      <w:rPr>
        <w:rFonts w:hint="default" w:ascii="Wingdings" w:hAnsi="Wingdings"/>
      </w:rPr>
    </w:lvl>
    <w:lvl w:ilvl="4" w:tentative="0">
      <w:start w:val="1"/>
      <w:numFmt w:val="bullet"/>
      <w:lvlText w:val=""/>
      <w:lvlJc w:val="left"/>
      <w:pPr>
        <w:ind w:left="3360" w:hanging="420"/>
      </w:pPr>
      <w:rPr>
        <w:rFonts w:hint="default" w:ascii="Wingdings" w:hAnsi="Wingdings"/>
      </w:rPr>
    </w:lvl>
    <w:lvl w:ilvl="5" w:tentative="0">
      <w:start w:val="1"/>
      <w:numFmt w:val="bullet"/>
      <w:lvlText w:val=""/>
      <w:lvlJc w:val="left"/>
      <w:pPr>
        <w:ind w:left="3780" w:hanging="420"/>
      </w:pPr>
      <w:rPr>
        <w:rFonts w:hint="default" w:ascii="Wingdings" w:hAnsi="Wingdings"/>
      </w:rPr>
    </w:lvl>
    <w:lvl w:ilvl="6" w:tentative="0">
      <w:start w:val="1"/>
      <w:numFmt w:val="bullet"/>
      <w:lvlText w:val=""/>
      <w:lvlJc w:val="left"/>
      <w:pPr>
        <w:ind w:left="4200" w:hanging="420"/>
      </w:pPr>
      <w:rPr>
        <w:rFonts w:hint="default" w:ascii="Wingdings" w:hAnsi="Wingdings"/>
      </w:rPr>
    </w:lvl>
    <w:lvl w:ilvl="7" w:tentative="0">
      <w:start w:val="1"/>
      <w:numFmt w:val="bullet"/>
      <w:lvlText w:val=""/>
      <w:lvlJc w:val="left"/>
      <w:pPr>
        <w:ind w:left="4620" w:hanging="420"/>
      </w:pPr>
      <w:rPr>
        <w:rFonts w:hint="default" w:ascii="Wingdings" w:hAnsi="Wingdings"/>
      </w:rPr>
    </w:lvl>
    <w:lvl w:ilvl="8" w:tentative="0">
      <w:start w:val="1"/>
      <w:numFmt w:val="bullet"/>
      <w:lvlText w:val=""/>
      <w:lvlJc w:val="left"/>
      <w:pPr>
        <w:ind w:left="5040" w:hanging="420"/>
      </w:pPr>
      <w:rPr>
        <w:rFonts w:hint="default" w:ascii="Wingdings" w:hAnsi="Wingdings"/>
      </w:rPr>
    </w:lvl>
  </w:abstractNum>
  <w:abstractNum w:abstractNumId="3">
    <w:nsid w:val="14ED7933"/>
    <w:multiLevelType w:val="multilevel"/>
    <w:tmpl w:val="14ED7933"/>
    <w:lvl w:ilvl="0" w:tentative="0">
      <w:start w:val="1"/>
      <w:numFmt w:val="decimalZero"/>
      <w:pStyle w:val="47"/>
      <w:lvlText w:val="R%1. "/>
      <w:lvlJc w:val="left"/>
      <w:pPr>
        <w:ind w:left="1213" w:hanging="362"/>
      </w:pPr>
      <w:rPr>
        <w:rFonts w:hint="eastAsia" w:ascii="Times New Roman" w:hAnsi="Times New Roman" w:cs="Times New Roman"/>
        <w:b/>
        <w:bCs w:val="0"/>
        <w:i w:val="0"/>
        <w:iCs w:val="0"/>
        <w:caps w:val="0"/>
        <w:smallCaps w:val="0"/>
        <w:strike w:val="0"/>
        <w:dstrike w:val="0"/>
        <w:outline w:val="0"/>
        <w:shadow w:val="0"/>
        <w:emboss w:val="0"/>
        <w:imprint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lvl>
    <w:lvl w:ilvl="1" w:tentative="0">
      <w:start w:val="1"/>
      <w:numFmt w:val="lowerLetter"/>
      <w:lvlText w:val="%2."/>
      <w:lvlJc w:val="left"/>
      <w:pPr>
        <w:ind w:left="1440" w:hanging="362"/>
      </w:pPr>
      <w:rPr>
        <w:rFonts w:hint="eastAsia"/>
      </w:rPr>
    </w:lvl>
    <w:lvl w:ilvl="2" w:tentative="0">
      <w:start w:val="1"/>
      <w:numFmt w:val="lowerRoman"/>
      <w:lvlText w:val="%3."/>
      <w:lvlJc w:val="right"/>
      <w:pPr>
        <w:ind w:left="1667" w:hanging="362"/>
      </w:pPr>
      <w:rPr>
        <w:rFonts w:hint="eastAsia"/>
      </w:rPr>
    </w:lvl>
    <w:lvl w:ilvl="3" w:tentative="0">
      <w:start w:val="1"/>
      <w:numFmt w:val="decimal"/>
      <w:lvlText w:val="%4."/>
      <w:lvlJc w:val="left"/>
      <w:pPr>
        <w:ind w:left="1894" w:hanging="362"/>
      </w:pPr>
      <w:rPr>
        <w:rFonts w:hint="eastAsia"/>
      </w:rPr>
    </w:lvl>
    <w:lvl w:ilvl="4" w:tentative="0">
      <w:start w:val="1"/>
      <w:numFmt w:val="lowerLetter"/>
      <w:lvlText w:val="%5."/>
      <w:lvlJc w:val="left"/>
      <w:pPr>
        <w:ind w:left="2121" w:hanging="362"/>
      </w:pPr>
      <w:rPr>
        <w:rFonts w:hint="eastAsia"/>
      </w:rPr>
    </w:lvl>
    <w:lvl w:ilvl="5" w:tentative="0">
      <w:start w:val="1"/>
      <w:numFmt w:val="lowerRoman"/>
      <w:lvlText w:val="%6."/>
      <w:lvlJc w:val="right"/>
      <w:pPr>
        <w:ind w:left="2348" w:hanging="362"/>
      </w:pPr>
      <w:rPr>
        <w:rFonts w:hint="eastAsia"/>
      </w:rPr>
    </w:lvl>
    <w:lvl w:ilvl="6" w:tentative="0">
      <w:start w:val="1"/>
      <w:numFmt w:val="decimal"/>
      <w:lvlText w:val="%7."/>
      <w:lvlJc w:val="left"/>
      <w:pPr>
        <w:ind w:left="2575" w:hanging="362"/>
      </w:pPr>
      <w:rPr>
        <w:rFonts w:hint="eastAsia"/>
      </w:rPr>
    </w:lvl>
    <w:lvl w:ilvl="7" w:tentative="0">
      <w:start w:val="1"/>
      <w:numFmt w:val="lowerLetter"/>
      <w:lvlText w:val="%8."/>
      <w:lvlJc w:val="left"/>
      <w:pPr>
        <w:ind w:left="2802" w:hanging="362"/>
      </w:pPr>
      <w:rPr>
        <w:rFonts w:hint="eastAsia"/>
      </w:rPr>
    </w:lvl>
    <w:lvl w:ilvl="8" w:tentative="0">
      <w:start w:val="1"/>
      <w:numFmt w:val="lowerRoman"/>
      <w:lvlText w:val="%9."/>
      <w:lvlJc w:val="right"/>
      <w:pPr>
        <w:ind w:left="3029" w:hanging="362"/>
      </w:pPr>
      <w:rPr>
        <w:rFonts w:hint="eastAsia"/>
      </w:rPr>
    </w:lvl>
  </w:abstractNum>
  <w:abstractNum w:abstractNumId="4">
    <w:nsid w:val="1D98012E"/>
    <w:multiLevelType w:val="multilevel"/>
    <w:tmpl w:val="1D98012E"/>
    <w:lvl w:ilvl="0" w:tentative="0">
      <w:start w:val="1"/>
      <w:numFmt w:val="bullet"/>
      <w:lvlText w:val=""/>
      <w:lvlJc w:val="left"/>
      <w:pPr>
        <w:ind w:left="1680" w:hanging="420"/>
      </w:pPr>
      <w:rPr>
        <w:rFonts w:hint="default" w:ascii="Wingdings" w:hAnsi="Wingdings"/>
      </w:rPr>
    </w:lvl>
    <w:lvl w:ilvl="1" w:tentative="0">
      <w:start w:val="1"/>
      <w:numFmt w:val="bullet"/>
      <w:lvlText w:val=""/>
      <w:lvlJc w:val="left"/>
      <w:pPr>
        <w:ind w:left="2100" w:hanging="420"/>
      </w:pPr>
      <w:rPr>
        <w:rFonts w:hint="default" w:ascii="Wingdings" w:hAnsi="Wingdings"/>
      </w:rPr>
    </w:lvl>
    <w:lvl w:ilvl="2" w:tentative="0">
      <w:start w:val="1"/>
      <w:numFmt w:val="bullet"/>
      <w:lvlText w:val=""/>
      <w:lvlJc w:val="left"/>
      <w:pPr>
        <w:ind w:left="2520" w:hanging="420"/>
      </w:pPr>
      <w:rPr>
        <w:rFonts w:hint="default" w:ascii="Wingdings" w:hAnsi="Wingdings"/>
      </w:rPr>
    </w:lvl>
    <w:lvl w:ilvl="3" w:tentative="0">
      <w:start w:val="1"/>
      <w:numFmt w:val="bullet"/>
      <w:lvlText w:val=""/>
      <w:lvlJc w:val="left"/>
      <w:pPr>
        <w:ind w:left="2940" w:hanging="420"/>
      </w:pPr>
      <w:rPr>
        <w:rFonts w:hint="default" w:ascii="Wingdings" w:hAnsi="Wingdings"/>
      </w:rPr>
    </w:lvl>
    <w:lvl w:ilvl="4" w:tentative="0">
      <w:start w:val="1"/>
      <w:numFmt w:val="bullet"/>
      <w:lvlText w:val=""/>
      <w:lvlJc w:val="left"/>
      <w:pPr>
        <w:ind w:left="3360" w:hanging="420"/>
      </w:pPr>
      <w:rPr>
        <w:rFonts w:hint="default" w:ascii="Wingdings" w:hAnsi="Wingdings"/>
      </w:rPr>
    </w:lvl>
    <w:lvl w:ilvl="5" w:tentative="0">
      <w:start w:val="1"/>
      <w:numFmt w:val="bullet"/>
      <w:lvlText w:val=""/>
      <w:lvlJc w:val="left"/>
      <w:pPr>
        <w:ind w:left="3780" w:hanging="420"/>
      </w:pPr>
      <w:rPr>
        <w:rFonts w:hint="default" w:ascii="Wingdings" w:hAnsi="Wingdings"/>
      </w:rPr>
    </w:lvl>
    <w:lvl w:ilvl="6" w:tentative="0">
      <w:start w:val="1"/>
      <w:numFmt w:val="bullet"/>
      <w:lvlText w:val=""/>
      <w:lvlJc w:val="left"/>
      <w:pPr>
        <w:ind w:left="4200" w:hanging="420"/>
      </w:pPr>
      <w:rPr>
        <w:rFonts w:hint="default" w:ascii="Wingdings" w:hAnsi="Wingdings"/>
      </w:rPr>
    </w:lvl>
    <w:lvl w:ilvl="7" w:tentative="0">
      <w:start w:val="1"/>
      <w:numFmt w:val="bullet"/>
      <w:lvlText w:val=""/>
      <w:lvlJc w:val="left"/>
      <w:pPr>
        <w:ind w:left="4620" w:hanging="420"/>
      </w:pPr>
      <w:rPr>
        <w:rFonts w:hint="default" w:ascii="Wingdings" w:hAnsi="Wingdings"/>
      </w:rPr>
    </w:lvl>
    <w:lvl w:ilvl="8" w:tentative="0">
      <w:start w:val="1"/>
      <w:numFmt w:val="bullet"/>
      <w:lvlText w:val=""/>
      <w:lvlJc w:val="left"/>
      <w:pPr>
        <w:ind w:left="5040" w:hanging="420"/>
      </w:pPr>
      <w:rPr>
        <w:rFonts w:hint="default" w:ascii="Wingdings" w:hAnsi="Wingdings"/>
      </w:rPr>
    </w:lvl>
  </w:abstractNum>
  <w:abstractNum w:abstractNumId="5">
    <w:nsid w:val="3D650981"/>
    <w:multiLevelType w:val="multilevel"/>
    <w:tmpl w:val="3D650981"/>
    <w:lvl w:ilvl="0" w:tentative="0">
      <w:start w:val="1"/>
      <w:numFmt w:val="decimal"/>
      <w:lvlText w:val="%1."/>
      <w:lvlJc w:val="left"/>
      <w:pPr>
        <w:ind w:left="425" w:hanging="425"/>
      </w:pPr>
      <w:rPr>
        <w:rFonts w:hint="eastAsia"/>
      </w:rPr>
    </w:lvl>
    <w:lvl w:ilvl="1" w:tentative="0">
      <w:start w:val="1"/>
      <w:numFmt w:val="decimal"/>
      <w:lvlText w:val="%1.%2"/>
      <w:lvlJc w:val="left"/>
      <w:pPr>
        <w:ind w:left="992" w:hanging="567"/>
      </w:pPr>
      <w:rPr>
        <w:rFonts w:hint="eastAsia"/>
      </w:rPr>
    </w:lvl>
    <w:lvl w:ilvl="2" w:tentative="0">
      <w:start w:val="1"/>
      <w:numFmt w:val="decimal"/>
      <w:pStyle w:val="43"/>
      <w:lvlText w:val="%1.%2.%3"/>
      <w:lvlJc w:val="left"/>
      <w:pPr>
        <w:ind w:left="1134" w:hanging="567"/>
      </w:pPr>
      <w:rPr>
        <w:b w:val="0"/>
        <w:bCs w:val="0"/>
        <w:i w:val="0"/>
        <w:iCs w:val="0"/>
        <w:caps w:val="0"/>
        <w:smallCaps w:val="0"/>
        <w:strike w:val="0"/>
        <w:dstrike w:val="0"/>
        <w:outline w:val="0"/>
        <w:shadow w:val="0"/>
        <w:emboss w:val="0"/>
        <w:imprint w:val="0"/>
        <w:vanish w:val="0"/>
        <w:spacing w:val="0"/>
        <w:position w:val="0"/>
        <w:u w:val="none"/>
        <w:vertAlign w:val="baseline"/>
        <w:lang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6">
    <w:nsid w:val="3EA7446E"/>
    <w:multiLevelType w:val="multilevel"/>
    <w:tmpl w:val="3EA7446E"/>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7">
    <w:nsid w:val="406A6839"/>
    <w:multiLevelType w:val="multilevel"/>
    <w:tmpl w:val="406A6839"/>
    <w:lvl w:ilvl="0" w:tentative="0">
      <w:start w:val="1"/>
      <w:numFmt w:val="bullet"/>
      <w:lvlText w:val=""/>
      <w:lvlJc w:val="left"/>
      <w:pPr>
        <w:ind w:left="1680" w:hanging="420"/>
      </w:pPr>
      <w:rPr>
        <w:rFonts w:hint="default" w:ascii="Wingdings" w:hAnsi="Wingdings"/>
      </w:rPr>
    </w:lvl>
    <w:lvl w:ilvl="1" w:tentative="0">
      <w:start w:val="1"/>
      <w:numFmt w:val="bullet"/>
      <w:lvlText w:val=""/>
      <w:lvlJc w:val="left"/>
      <w:pPr>
        <w:ind w:left="2100" w:hanging="420"/>
      </w:pPr>
      <w:rPr>
        <w:rFonts w:hint="default" w:ascii="Wingdings" w:hAnsi="Wingdings"/>
      </w:rPr>
    </w:lvl>
    <w:lvl w:ilvl="2" w:tentative="0">
      <w:start w:val="1"/>
      <w:numFmt w:val="bullet"/>
      <w:lvlText w:val=""/>
      <w:lvlJc w:val="left"/>
      <w:pPr>
        <w:ind w:left="2520" w:hanging="420"/>
      </w:pPr>
      <w:rPr>
        <w:rFonts w:hint="default" w:ascii="Wingdings" w:hAnsi="Wingdings"/>
      </w:rPr>
    </w:lvl>
    <w:lvl w:ilvl="3" w:tentative="0">
      <w:start w:val="1"/>
      <w:numFmt w:val="bullet"/>
      <w:lvlText w:val=""/>
      <w:lvlJc w:val="left"/>
      <w:pPr>
        <w:ind w:left="2940" w:hanging="420"/>
      </w:pPr>
      <w:rPr>
        <w:rFonts w:hint="default" w:ascii="Wingdings" w:hAnsi="Wingdings"/>
      </w:rPr>
    </w:lvl>
    <w:lvl w:ilvl="4" w:tentative="0">
      <w:start w:val="1"/>
      <w:numFmt w:val="bullet"/>
      <w:lvlText w:val=""/>
      <w:lvlJc w:val="left"/>
      <w:pPr>
        <w:ind w:left="3360" w:hanging="420"/>
      </w:pPr>
      <w:rPr>
        <w:rFonts w:hint="default" w:ascii="Wingdings" w:hAnsi="Wingdings"/>
      </w:rPr>
    </w:lvl>
    <w:lvl w:ilvl="5" w:tentative="0">
      <w:start w:val="1"/>
      <w:numFmt w:val="bullet"/>
      <w:lvlText w:val=""/>
      <w:lvlJc w:val="left"/>
      <w:pPr>
        <w:ind w:left="3780" w:hanging="420"/>
      </w:pPr>
      <w:rPr>
        <w:rFonts w:hint="default" w:ascii="Wingdings" w:hAnsi="Wingdings"/>
      </w:rPr>
    </w:lvl>
    <w:lvl w:ilvl="6" w:tentative="0">
      <w:start w:val="1"/>
      <w:numFmt w:val="bullet"/>
      <w:lvlText w:val=""/>
      <w:lvlJc w:val="left"/>
      <w:pPr>
        <w:ind w:left="4200" w:hanging="420"/>
      </w:pPr>
      <w:rPr>
        <w:rFonts w:hint="default" w:ascii="Wingdings" w:hAnsi="Wingdings"/>
      </w:rPr>
    </w:lvl>
    <w:lvl w:ilvl="7" w:tentative="0">
      <w:start w:val="1"/>
      <w:numFmt w:val="bullet"/>
      <w:lvlText w:val=""/>
      <w:lvlJc w:val="left"/>
      <w:pPr>
        <w:ind w:left="4620" w:hanging="420"/>
      </w:pPr>
      <w:rPr>
        <w:rFonts w:hint="default" w:ascii="Wingdings" w:hAnsi="Wingdings"/>
      </w:rPr>
    </w:lvl>
    <w:lvl w:ilvl="8" w:tentative="0">
      <w:start w:val="1"/>
      <w:numFmt w:val="bullet"/>
      <w:lvlText w:val=""/>
      <w:lvlJc w:val="left"/>
      <w:pPr>
        <w:ind w:left="5040" w:hanging="420"/>
      </w:pPr>
      <w:rPr>
        <w:rFonts w:hint="default" w:ascii="Wingdings" w:hAnsi="Wingdings"/>
      </w:rPr>
    </w:lvl>
  </w:abstractNum>
  <w:abstractNum w:abstractNumId="8">
    <w:nsid w:val="52652F88"/>
    <w:multiLevelType w:val="multilevel"/>
    <w:tmpl w:val="52652F88"/>
    <w:lvl w:ilvl="0" w:tentative="0">
      <w:start w:val="1"/>
      <w:numFmt w:val="decimalZero"/>
      <w:pStyle w:val="88"/>
      <w:lvlText w:val="T%1."/>
      <w:lvlJc w:val="left"/>
      <w:pPr>
        <w:ind w:left="1271" w:hanging="420"/>
      </w:pPr>
      <w:rPr>
        <w:rFonts w:ascii="Times New Roman" w:hAnsi="Times New Roman" w:cs="Times New Roman"/>
        <w:b w:val="0"/>
        <w:bCs w:val="0"/>
        <w:i w:val="0"/>
        <w:iCs w:val="0"/>
        <w:caps w:val="0"/>
        <w:smallCaps w:val="0"/>
        <w:strike w:val="0"/>
        <w:dstrike w:val="0"/>
        <w:outline w:val="0"/>
        <w:shadow w:val="0"/>
        <w:emboss w:val="0"/>
        <w:imprint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lvl>
    <w:lvl w:ilvl="1" w:tentative="0">
      <w:start w:val="1"/>
      <w:numFmt w:val="lowerLetter"/>
      <w:lvlText w:val="%2)"/>
      <w:lvlJc w:val="left"/>
      <w:pPr>
        <w:ind w:left="1691" w:hanging="420"/>
      </w:pPr>
    </w:lvl>
    <w:lvl w:ilvl="2" w:tentative="0">
      <w:start w:val="1"/>
      <w:numFmt w:val="lowerRoman"/>
      <w:lvlText w:val="%3."/>
      <w:lvlJc w:val="right"/>
      <w:pPr>
        <w:ind w:left="2111" w:hanging="420"/>
      </w:pPr>
    </w:lvl>
    <w:lvl w:ilvl="3" w:tentative="0">
      <w:start w:val="1"/>
      <w:numFmt w:val="decimal"/>
      <w:lvlText w:val="%4."/>
      <w:lvlJc w:val="left"/>
      <w:pPr>
        <w:ind w:left="2531" w:hanging="420"/>
      </w:pPr>
    </w:lvl>
    <w:lvl w:ilvl="4" w:tentative="0">
      <w:start w:val="1"/>
      <w:numFmt w:val="lowerLetter"/>
      <w:lvlText w:val="%5)"/>
      <w:lvlJc w:val="left"/>
      <w:pPr>
        <w:ind w:left="2951" w:hanging="420"/>
      </w:pPr>
    </w:lvl>
    <w:lvl w:ilvl="5" w:tentative="0">
      <w:start w:val="1"/>
      <w:numFmt w:val="lowerRoman"/>
      <w:lvlText w:val="%6."/>
      <w:lvlJc w:val="right"/>
      <w:pPr>
        <w:ind w:left="3371" w:hanging="420"/>
      </w:pPr>
    </w:lvl>
    <w:lvl w:ilvl="6" w:tentative="0">
      <w:start w:val="1"/>
      <w:numFmt w:val="decimal"/>
      <w:lvlText w:val="%7."/>
      <w:lvlJc w:val="left"/>
      <w:pPr>
        <w:ind w:left="3791" w:hanging="420"/>
      </w:pPr>
    </w:lvl>
    <w:lvl w:ilvl="7" w:tentative="0">
      <w:start w:val="1"/>
      <w:numFmt w:val="lowerLetter"/>
      <w:lvlText w:val="%8)"/>
      <w:lvlJc w:val="left"/>
      <w:pPr>
        <w:ind w:left="4211" w:hanging="420"/>
      </w:pPr>
    </w:lvl>
    <w:lvl w:ilvl="8" w:tentative="0">
      <w:start w:val="1"/>
      <w:numFmt w:val="lowerRoman"/>
      <w:lvlText w:val="%9."/>
      <w:lvlJc w:val="right"/>
      <w:pPr>
        <w:ind w:left="4631" w:hanging="420"/>
      </w:pPr>
    </w:lvl>
  </w:abstractNum>
  <w:abstractNum w:abstractNumId="9">
    <w:nsid w:val="5B03561F"/>
    <w:multiLevelType w:val="multilevel"/>
    <w:tmpl w:val="5B03561F"/>
    <w:lvl w:ilvl="0" w:tentative="0">
      <w:start w:val="1"/>
      <w:numFmt w:val="decimalZero"/>
      <w:pStyle w:val="54"/>
      <w:lvlText w:val="M%1. "/>
      <w:lvlJc w:val="left"/>
      <w:pPr>
        <w:ind w:left="360" w:hanging="360"/>
      </w:pPr>
      <w:rPr>
        <w:rFonts w:hint="eastAsia" w:ascii="思源黑体 CN Heavy" w:hAnsi="思源黑体 CN Heavy"/>
        <w:b/>
        <w:bCs w:val="0"/>
        <w:i w:val="0"/>
        <w:iCs w:val="0"/>
        <w:caps w:val="0"/>
        <w:smallCaps w:val="0"/>
        <w:strike w:val="0"/>
        <w:dstrike w:val="0"/>
        <w:outline w:val="0"/>
        <w:shadow w:val="0"/>
        <w:emboss w:val="0"/>
        <w:imprint w:val="0"/>
        <w:vanish w:val="0"/>
        <w:color w:val="000000"/>
        <w:spacing w:val="0"/>
        <w:position w:val="0"/>
        <w:sz w:val="24"/>
        <w:u w:val="none"/>
        <w:vertAlign w:val="baseline"/>
        <w14:ligatures w14:val="none"/>
        <w14:numForm w14:val="default"/>
        <w14:numSpacing w14:val="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0">
    <w:nsid w:val="640E3978"/>
    <w:multiLevelType w:val="multilevel"/>
    <w:tmpl w:val="640E3978"/>
    <w:lvl w:ilvl="0" w:tentative="0">
      <w:start w:val="1"/>
      <w:numFmt w:val="decimalZero"/>
      <w:pStyle w:val="90"/>
      <w:lvlText w:val="R%1. "/>
      <w:lvlJc w:val="left"/>
      <w:pPr>
        <w:ind w:left="1213" w:hanging="362"/>
      </w:pPr>
      <w:rPr>
        <w:rFonts w:hint="eastAsia"/>
        <w:b/>
        <w:bCs w:val="0"/>
        <w:i w:val="0"/>
        <w:iCs w:val="0"/>
        <w:caps w:val="0"/>
        <w:smallCaps w:val="0"/>
        <w:strike w:val="0"/>
        <w:dstrike w:val="0"/>
        <w:outline w:val="0"/>
        <w:shadow w:val="0"/>
        <w:emboss w:val="0"/>
        <w:imprint w:val="0"/>
        <w:vanish w:val="0"/>
        <w:spacing w:val="0"/>
        <w:position w:val="0"/>
        <w:u w:val="none"/>
        <w:vertAlign w:val="baseline"/>
        <w:lang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lvl>
    <w:lvl w:ilvl="1" w:tentative="0">
      <w:start w:val="1"/>
      <w:numFmt w:val="lowerLetter"/>
      <w:lvlText w:val="%2)"/>
      <w:lvlJc w:val="left"/>
      <w:pPr>
        <w:ind w:left="1691" w:hanging="420"/>
      </w:pPr>
      <w:rPr>
        <w:rFonts w:hint="eastAsia"/>
      </w:rPr>
    </w:lvl>
    <w:lvl w:ilvl="2" w:tentative="0">
      <w:start w:val="1"/>
      <w:numFmt w:val="lowerRoman"/>
      <w:lvlText w:val="%3."/>
      <w:lvlJc w:val="right"/>
      <w:pPr>
        <w:ind w:left="2111" w:hanging="420"/>
      </w:pPr>
      <w:rPr>
        <w:rFonts w:hint="eastAsia"/>
      </w:rPr>
    </w:lvl>
    <w:lvl w:ilvl="3" w:tentative="0">
      <w:start w:val="1"/>
      <w:numFmt w:val="decimal"/>
      <w:lvlText w:val="%4."/>
      <w:lvlJc w:val="left"/>
      <w:pPr>
        <w:ind w:left="2531" w:hanging="420"/>
      </w:pPr>
      <w:rPr>
        <w:rFonts w:hint="eastAsia"/>
      </w:rPr>
    </w:lvl>
    <w:lvl w:ilvl="4" w:tentative="0">
      <w:start w:val="1"/>
      <w:numFmt w:val="lowerLetter"/>
      <w:lvlText w:val="%5)"/>
      <w:lvlJc w:val="left"/>
      <w:pPr>
        <w:ind w:left="2951" w:hanging="420"/>
      </w:pPr>
      <w:rPr>
        <w:rFonts w:hint="eastAsia"/>
      </w:rPr>
    </w:lvl>
    <w:lvl w:ilvl="5" w:tentative="0">
      <w:start w:val="1"/>
      <w:numFmt w:val="lowerRoman"/>
      <w:lvlText w:val="%6."/>
      <w:lvlJc w:val="right"/>
      <w:pPr>
        <w:ind w:left="3371" w:hanging="420"/>
      </w:pPr>
      <w:rPr>
        <w:rFonts w:hint="eastAsia"/>
      </w:rPr>
    </w:lvl>
    <w:lvl w:ilvl="6" w:tentative="0">
      <w:start w:val="1"/>
      <w:numFmt w:val="decimal"/>
      <w:lvlText w:val="%7."/>
      <w:lvlJc w:val="left"/>
      <w:pPr>
        <w:ind w:left="3791" w:hanging="420"/>
      </w:pPr>
      <w:rPr>
        <w:rFonts w:hint="eastAsia"/>
      </w:rPr>
    </w:lvl>
    <w:lvl w:ilvl="7" w:tentative="0">
      <w:start w:val="1"/>
      <w:numFmt w:val="lowerLetter"/>
      <w:lvlText w:val="%8)"/>
      <w:lvlJc w:val="left"/>
      <w:pPr>
        <w:ind w:left="4211" w:hanging="420"/>
      </w:pPr>
      <w:rPr>
        <w:rFonts w:hint="eastAsia"/>
      </w:rPr>
    </w:lvl>
    <w:lvl w:ilvl="8" w:tentative="0">
      <w:start w:val="1"/>
      <w:numFmt w:val="lowerRoman"/>
      <w:lvlText w:val="%9."/>
      <w:lvlJc w:val="right"/>
      <w:pPr>
        <w:ind w:left="4631" w:hanging="420"/>
      </w:pPr>
      <w:rPr>
        <w:rFonts w:hint="eastAsia"/>
      </w:rPr>
    </w:lvl>
  </w:abstractNum>
  <w:abstractNum w:abstractNumId="11">
    <w:nsid w:val="68C94424"/>
    <w:multiLevelType w:val="multilevel"/>
    <w:tmpl w:val="68C94424"/>
    <w:lvl w:ilvl="0" w:tentative="0">
      <w:start w:val="1"/>
      <w:numFmt w:val="bullet"/>
      <w:lvlText w:val=""/>
      <w:lvlJc w:val="left"/>
      <w:pPr>
        <w:ind w:left="1680" w:hanging="420"/>
      </w:pPr>
      <w:rPr>
        <w:rFonts w:hint="default" w:ascii="Wingdings" w:hAnsi="Wingdings"/>
      </w:rPr>
    </w:lvl>
    <w:lvl w:ilvl="1" w:tentative="0">
      <w:start w:val="1"/>
      <w:numFmt w:val="bullet"/>
      <w:lvlText w:val=""/>
      <w:lvlJc w:val="left"/>
      <w:pPr>
        <w:ind w:left="2100" w:hanging="420"/>
      </w:pPr>
      <w:rPr>
        <w:rFonts w:hint="default" w:ascii="Wingdings" w:hAnsi="Wingdings"/>
      </w:rPr>
    </w:lvl>
    <w:lvl w:ilvl="2" w:tentative="0">
      <w:start w:val="1"/>
      <w:numFmt w:val="bullet"/>
      <w:lvlText w:val=""/>
      <w:lvlJc w:val="left"/>
      <w:pPr>
        <w:ind w:left="2520" w:hanging="420"/>
      </w:pPr>
      <w:rPr>
        <w:rFonts w:hint="default" w:ascii="Wingdings" w:hAnsi="Wingdings"/>
      </w:rPr>
    </w:lvl>
    <w:lvl w:ilvl="3" w:tentative="0">
      <w:start w:val="1"/>
      <w:numFmt w:val="bullet"/>
      <w:lvlText w:val=""/>
      <w:lvlJc w:val="left"/>
      <w:pPr>
        <w:ind w:left="2940" w:hanging="420"/>
      </w:pPr>
      <w:rPr>
        <w:rFonts w:hint="default" w:ascii="Wingdings" w:hAnsi="Wingdings"/>
      </w:rPr>
    </w:lvl>
    <w:lvl w:ilvl="4" w:tentative="0">
      <w:start w:val="1"/>
      <w:numFmt w:val="bullet"/>
      <w:lvlText w:val=""/>
      <w:lvlJc w:val="left"/>
      <w:pPr>
        <w:ind w:left="3360" w:hanging="420"/>
      </w:pPr>
      <w:rPr>
        <w:rFonts w:hint="default" w:ascii="Wingdings" w:hAnsi="Wingdings"/>
      </w:rPr>
    </w:lvl>
    <w:lvl w:ilvl="5" w:tentative="0">
      <w:start w:val="1"/>
      <w:numFmt w:val="bullet"/>
      <w:lvlText w:val=""/>
      <w:lvlJc w:val="left"/>
      <w:pPr>
        <w:ind w:left="3780" w:hanging="420"/>
      </w:pPr>
      <w:rPr>
        <w:rFonts w:hint="default" w:ascii="Wingdings" w:hAnsi="Wingdings"/>
      </w:rPr>
    </w:lvl>
    <w:lvl w:ilvl="6" w:tentative="0">
      <w:start w:val="1"/>
      <w:numFmt w:val="bullet"/>
      <w:lvlText w:val=""/>
      <w:lvlJc w:val="left"/>
      <w:pPr>
        <w:ind w:left="4200" w:hanging="420"/>
      </w:pPr>
      <w:rPr>
        <w:rFonts w:hint="default" w:ascii="Wingdings" w:hAnsi="Wingdings"/>
      </w:rPr>
    </w:lvl>
    <w:lvl w:ilvl="7" w:tentative="0">
      <w:start w:val="1"/>
      <w:numFmt w:val="bullet"/>
      <w:lvlText w:val=""/>
      <w:lvlJc w:val="left"/>
      <w:pPr>
        <w:ind w:left="4620" w:hanging="420"/>
      </w:pPr>
      <w:rPr>
        <w:rFonts w:hint="default" w:ascii="Wingdings" w:hAnsi="Wingdings"/>
      </w:rPr>
    </w:lvl>
    <w:lvl w:ilvl="8" w:tentative="0">
      <w:start w:val="1"/>
      <w:numFmt w:val="bullet"/>
      <w:lvlText w:val=""/>
      <w:lvlJc w:val="left"/>
      <w:pPr>
        <w:ind w:left="5040" w:hanging="420"/>
      </w:pPr>
      <w:rPr>
        <w:rFonts w:hint="default" w:ascii="Wingdings" w:hAnsi="Wingdings"/>
      </w:rPr>
    </w:lvl>
  </w:abstractNum>
  <w:abstractNum w:abstractNumId="12">
    <w:nsid w:val="6F990B5E"/>
    <w:multiLevelType w:val="multilevel"/>
    <w:tmpl w:val="6F990B5E"/>
    <w:lvl w:ilvl="0" w:tentative="0">
      <w:start w:val="1"/>
      <w:numFmt w:val="bullet"/>
      <w:pStyle w:val="31"/>
      <w:lvlText w:val=""/>
      <w:lvlJc w:val="left"/>
      <w:pPr>
        <w:ind w:left="1128"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13">
    <w:nsid w:val="70CA3A0B"/>
    <w:multiLevelType w:val="multilevel"/>
    <w:tmpl w:val="70CA3A0B"/>
    <w:lvl w:ilvl="0" w:tentative="0">
      <w:start w:val="1"/>
      <w:numFmt w:val="decimalZero"/>
      <w:pStyle w:val="93"/>
      <w:lvlText w:val="E%1. "/>
      <w:lvlJc w:val="left"/>
      <w:pPr>
        <w:ind w:left="1213" w:hanging="362"/>
      </w:pPr>
      <w:rPr>
        <w:rFonts w:hint="eastAsia"/>
        <w:b/>
        <w:bCs w:val="0"/>
        <w:i w:val="0"/>
        <w:iCs w:val="0"/>
        <w:caps w:val="0"/>
        <w:smallCaps w:val="0"/>
        <w:strike w:val="0"/>
        <w:dstrike w:val="0"/>
        <w:outline w:val="0"/>
        <w:shadow w:val="0"/>
        <w:emboss w:val="0"/>
        <w:imprint w:val="0"/>
        <w:vanish w:val="0"/>
        <w:spacing w:val="0"/>
        <w:position w:val="0"/>
        <w:u w:val="none"/>
        <w:vertAlign w:val="baseline"/>
        <w14:ligatures w14:val="none"/>
        <w14:numForm w14:val="default"/>
        <w14:numSpacing w14:val="default"/>
        <w14:cntxtalts w14:val="0"/>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14">
    <w:nsid w:val="7B164970"/>
    <w:multiLevelType w:val="multilevel"/>
    <w:tmpl w:val="7B164970"/>
    <w:lvl w:ilvl="0" w:tentative="0">
      <w:start w:val="1"/>
      <w:numFmt w:val="decimalZero"/>
      <w:pStyle w:val="48"/>
      <w:lvlText w:val="T%1. "/>
      <w:lvlJc w:val="left"/>
      <w:pPr>
        <w:ind w:left="1211" w:hanging="360"/>
      </w:pPr>
      <w:rPr>
        <w:rFonts w:hint="eastAsia" w:ascii="思源黑体 CN Regular" w:hAnsi="思源黑体 CN Regular"/>
        <w:b/>
        <w:bCs w:val="0"/>
        <w:i w:val="0"/>
        <w:iCs w:val="0"/>
        <w:caps w:val="0"/>
        <w:smallCaps w:val="0"/>
        <w:strike w:val="0"/>
        <w:dstrike w:val="0"/>
        <w:outline w:val="0"/>
        <w:shadow w:val="0"/>
        <w:emboss w:val="0"/>
        <w:imprint w:val="0"/>
        <w:vanish w:val="0"/>
        <w:color w:val="auto"/>
        <w:spacing w:val="0"/>
        <w:position w:val="0"/>
        <w:sz w:val="24"/>
        <w:u w:val="none"/>
        <w:vertAlign w:val="baseline"/>
        <w:lang w:val="en-US"/>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2280" w:hanging="360"/>
      </w:pPr>
    </w:lvl>
    <w:lvl w:ilvl="2" w:tentative="0">
      <w:start w:val="1"/>
      <w:numFmt w:val="lowerRoman"/>
      <w:lvlText w:val="%3."/>
      <w:lvlJc w:val="right"/>
      <w:pPr>
        <w:ind w:left="3000" w:hanging="180"/>
      </w:pPr>
    </w:lvl>
    <w:lvl w:ilvl="3" w:tentative="0">
      <w:start w:val="1"/>
      <w:numFmt w:val="decimal"/>
      <w:lvlText w:val="%4."/>
      <w:lvlJc w:val="left"/>
      <w:pPr>
        <w:ind w:left="3720" w:hanging="360"/>
      </w:pPr>
    </w:lvl>
    <w:lvl w:ilvl="4" w:tentative="0">
      <w:start w:val="1"/>
      <w:numFmt w:val="lowerLetter"/>
      <w:lvlText w:val="%5."/>
      <w:lvlJc w:val="left"/>
      <w:pPr>
        <w:ind w:left="4440" w:hanging="360"/>
      </w:pPr>
    </w:lvl>
    <w:lvl w:ilvl="5" w:tentative="0">
      <w:start w:val="1"/>
      <w:numFmt w:val="lowerRoman"/>
      <w:lvlText w:val="%6."/>
      <w:lvlJc w:val="right"/>
      <w:pPr>
        <w:ind w:left="5160" w:hanging="180"/>
      </w:pPr>
    </w:lvl>
    <w:lvl w:ilvl="6" w:tentative="0">
      <w:start w:val="1"/>
      <w:numFmt w:val="decimal"/>
      <w:lvlText w:val="%7."/>
      <w:lvlJc w:val="left"/>
      <w:pPr>
        <w:ind w:left="5880" w:hanging="360"/>
      </w:pPr>
    </w:lvl>
    <w:lvl w:ilvl="7" w:tentative="0">
      <w:start w:val="1"/>
      <w:numFmt w:val="lowerLetter"/>
      <w:lvlText w:val="%8."/>
      <w:lvlJc w:val="left"/>
      <w:pPr>
        <w:ind w:left="6600" w:hanging="360"/>
      </w:pPr>
    </w:lvl>
    <w:lvl w:ilvl="8" w:tentative="0">
      <w:start w:val="1"/>
      <w:numFmt w:val="lowerRoman"/>
      <w:lvlText w:val="%9."/>
      <w:lvlJc w:val="right"/>
      <w:pPr>
        <w:ind w:left="7320" w:hanging="180"/>
      </w:pPr>
    </w:lvl>
  </w:abstractNum>
  <w:abstractNum w:abstractNumId="15">
    <w:nsid w:val="7BA24B9C"/>
    <w:multiLevelType w:val="multilevel"/>
    <w:tmpl w:val="7BA24B9C"/>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6">
    <w:nsid w:val="7DA2056E"/>
    <w:multiLevelType w:val="multilevel"/>
    <w:tmpl w:val="7DA2056E"/>
    <w:lvl w:ilvl="0" w:tentative="0">
      <w:start w:val="1"/>
      <w:numFmt w:val="decimal"/>
      <w:lvlText w:val="%1"/>
      <w:lvlJc w:val="left"/>
      <w:pPr>
        <w:ind w:left="425" w:hanging="425"/>
      </w:pPr>
      <w:rPr>
        <w:rFonts w:hint="eastAsia"/>
      </w:rPr>
    </w:lvl>
    <w:lvl w:ilvl="1" w:tentative="0">
      <w:start w:val="1"/>
      <w:numFmt w:val="decimal"/>
      <w:pStyle w:val="3"/>
      <w:lvlText w:val="%1.%2"/>
      <w:lvlJc w:val="left"/>
      <w:pPr>
        <w:ind w:left="992" w:hanging="567"/>
      </w:p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num w:numId="1">
    <w:abstractNumId w:val="16"/>
  </w:num>
  <w:num w:numId="2">
    <w:abstractNumId w:val="12"/>
  </w:num>
  <w:num w:numId="3">
    <w:abstractNumId w:val="1"/>
  </w:num>
  <w:num w:numId="4">
    <w:abstractNumId w:val="5"/>
  </w:num>
  <w:num w:numId="5">
    <w:abstractNumId w:val="3"/>
  </w:num>
  <w:num w:numId="6">
    <w:abstractNumId w:val="14"/>
  </w:num>
  <w:num w:numId="7">
    <w:abstractNumId w:val="9"/>
  </w:num>
  <w:num w:numId="8">
    <w:abstractNumId w:val="8"/>
  </w:num>
  <w:num w:numId="9">
    <w:abstractNumId w:val="10"/>
  </w:num>
  <w:num w:numId="10">
    <w:abstractNumId w:val="13"/>
  </w:num>
  <w:num w:numId="11">
    <w:abstractNumId w:val="6"/>
  </w:num>
  <w:num w:numId="12">
    <w:abstractNumId w:val="0"/>
  </w:num>
  <w:num w:numId="13">
    <w:abstractNumId w:val="15"/>
  </w:num>
  <w:num w:numId="14">
    <w:abstractNumId w:val="2"/>
  </w:num>
  <w:num w:numId="15">
    <w:abstractNumId w:val="7"/>
  </w:num>
  <w:num w:numId="16">
    <w:abstractNumId w:val="4"/>
  </w:num>
  <w:num w:numId="1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4"/>
  <w:displayBackgroundShape w:val="1"/>
  <w:bordersDoNotSurroundHeader w:val="1"/>
  <w:bordersDoNotSurroundFooter w:val="1"/>
  <w:documentProtection w:enforcement="0"/>
  <w:defaultTabStop w:val="420"/>
  <w:drawingGridHorizontalSpacing w:val="100"/>
  <w:drawingGridVerticalSpacing w:val="156"/>
  <w:noPunctuationKerning w:val="1"/>
  <w:characterSpacingControl w:val="compressPunctuation"/>
  <w:hdrShapeDefaults>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mY5YzIwZTgzNTdkMTQxZTQ5ZTU0ZThiM2EzYTQ5OTYifQ=="/>
  </w:docVars>
  <w:rsids>
    <w:rsidRoot w:val="009D0568"/>
    <w:rsid w:val="00000CD1"/>
    <w:rsid w:val="00001B4C"/>
    <w:rsid w:val="00001E5C"/>
    <w:rsid w:val="00003018"/>
    <w:rsid w:val="0000309A"/>
    <w:rsid w:val="0000333C"/>
    <w:rsid w:val="000033BF"/>
    <w:rsid w:val="0000358F"/>
    <w:rsid w:val="00003799"/>
    <w:rsid w:val="00003A65"/>
    <w:rsid w:val="00004081"/>
    <w:rsid w:val="0000498B"/>
    <w:rsid w:val="00004D65"/>
    <w:rsid w:val="00005405"/>
    <w:rsid w:val="0000585D"/>
    <w:rsid w:val="00005A3B"/>
    <w:rsid w:val="000060FD"/>
    <w:rsid w:val="00006186"/>
    <w:rsid w:val="000066DC"/>
    <w:rsid w:val="0000715F"/>
    <w:rsid w:val="00007168"/>
    <w:rsid w:val="00007174"/>
    <w:rsid w:val="000076F5"/>
    <w:rsid w:val="00007749"/>
    <w:rsid w:val="00007D66"/>
    <w:rsid w:val="00010ACF"/>
    <w:rsid w:val="00011BED"/>
    <w:rsid w:val="00012536"/>
    <w:rsid w:val="000128F5"/>
    <w:rsid w:val="000128FC"/>
    <w:rsid w:val="00012B2E"/>
    <w:rsid w:val="00013090"/>
    <w:rsid w:val="00013BBD"/>
    <w:rsid w:val="00014218"/>
    <w:rsid w:val="0001423A"/>
    <w:rsid w:val="00014884"/>
    <w:rsid w:val="00014C92"/>
    <w:rsid w:val="00014D31"/>
    <w:rsid w:val="00015660"/>
    <w:rsid w:val="00017E95"/>
    <w:rsid w:val="00020146"/>
    <w:rsid w:val="00021332"/>
    <w:rsid w:val="000216BA"/>
    <w:rsid w:val="00021A12"/>
    <w:rsid w:val="00021B7F"/>
    <w:rsid w:val="00021C77"/>
    <w:rsid w:val="00021EB2"/>
    <w:rsid w:val="000220AC"/>
    <w:rsid w:val="000228A0"/>
    <w:rsid w:val="00022B96"/>
    <w:rsid w:val="0002396B"/>
    <w:rsid w:val="00023D36"/>
    <w:rsid w:val="000248A9"/>
    <w:rsid w:val="00024C68"/>
    <w:rsid w:val="00025069"/>
    <w:rsid w:val="00025190"/>
    <w:rsid w:val="00026288"/>
    <w:rsid w:val="00026D3C"/>
    <w:rsid w:val="00026D82"/>
    <w:rsid w:val="000272A5"/>
    <w:rsid w:val="00030DD2"/>
    <w:rsid w:val="00031366"/>
    <w:rsid w:val="00031D92"/>
    <w:rsid w:val="00032BEA"/>
    <w:rsid w:val="00032F22"/>
    <w:rsid w:val="00033085"/>
    <w:rsid w:val="00033878"/>
    <w:rsid w:val="00035E5E"/>
    <w:rsid w:val="0003732F"/>
    <w:rsid w:val="00040D00"/>
    <w:rsid w:val="00041AEE"/>
    <w:rsid w:val="00041B98"/>
    <w:rsid w:val="00041E59"/>
    <w:rsid w:val="00042F8E"/>
    <w:rsid w:val="0004309F"/>
    <w:rsid w:val="00043C1B"/>
    <w:rsid w:val="00044221"/>
    <w:rsid w:val="000449C7"/>
    <w:rsid w:val="000456A3"/>
    <w:rsid w:val="00046DFE"/>
    <w:rsid w:val="00047058"/>
    <w:rsid w:val="000476C3"/>
    <w:rsid w:val="00047A46"/>
    <w:rsid w:val="00047BC3"/>
    <w:rsid w:val="00047FD3"/>
    <w:rsid w:val="00050CEA"/>
    <w:rsid w:val="00050E4E"/>
    <w:rsid w:val="0005110D"/>
    <w:rsid w:val="00052259"/>
    <w:rsid w:val="000522BE"/>
    <w:rsid w:val="00052E99"/>
    <w:rsid w:val="00053198"/>
    <w:rsid w:val="000535AC"/>
    <w:rsid w:val="0005409D"/>
    <w:rsid w:val="00054F66"/>
    <w:rsid w:val="00055048"/>
    <w:rsid w:val="000552B0"/>
    <w:rsid w:val="000562BA"/>
    <w:rsid w:val="00056339"/>
    <w:rsid w:val="0005672A"/>
    <w:rsid w:val="00056B64"/>
    <w:rsid w:val="00056BE6"/>
    <w:rsid w:val="00057549"/>
    <w:rsid w:val="000575E1"/>
    <w:rsid w:val="0005773E"/>
    <w:rsid w:val="00060994"/>
    <w:rsid w:val="00060D0A"/>
    <w:rsid w:val="00061869"/>
    <w:rsid w:val="00061B56"/>
    <w:rsid w:val="000621DD"/>
    <w:rsid w:val="00062247"/>
    <w:rsid w:val="000622FA"/>
    <w:rsid w:val="000625BF"/>
    <w:rsid w:val="00064071"/>
    <w:rsid w:val="00064430"/>
    <w:rsid w:val="000649B3"/>
    <w:rsid w:val="00064E2B"/>
    <w:rsid w:val="000656D4"/>
    <w:rsid w:val="00066BCE"/>
    <w:rsid w:val="00066C8F"/>
    <w:rsid w:val="000673C6"/>
    <w:rsid w:val="00070991"/>
    <w:rsid w:val="000718C2"/>
    <w:rsid w:val="000720C2"/>
    <w:rsid w:val="00073C22"/>
    <w:rsid w:val="00074803"/>
    <w:rsid w:val="00074812"/>
    <w:rsid w:val="00074BCB"/>
    <w:rsid w:val="000750C3"/>
    <w:rsid w:val="00076640"/>
    <w:rsid w:val="00076828"/>
    <w:rsid w:val="00076C76"/>
    <w:rsid w:val="0007755A"/>
    <w:rsid w:val="000775E4"/>
    <w:rsid w:val="00077EC9"/>
    <w:rsid w:val="00080A8B"/>
    <w:rsid w:val="000811F0"/>
    <w:rsid w:val="000818C4"/>
    <w:rsid w:val="00082861"/>
    <w:rsid w:val="00082C5F"/>
    <w:rsid w:val="00083A07"/>
    <w:rsid w:val="00083D44"/>
    <w:rsid w:val="00083F11"/>
    <w:rsid w:val="00084A9D"/>
    <w:rsid w:val="00084F4B"/>
    <w:rsid w:val="00085264"/>
    <w:rsid w:val="00086951"/>
    <w:rsid w:val="00087160"/>
    <w:rsid w:val="00087DCE"/>
    <w:rsid w:val="00090EFB"/>
    <w:rsid w:val="00092725"/>
    <w:rsid w:val="000928FC"/>
    <w:rsid w:val="00092B1D"/>
    <w:rsid w:val="00093B68"/>
    <w:rsid w:val="000951C2"/>
    <w:rsid w:val="0009528B"/>
    <w:rsid w:val="000952C9"/>
    <w:rsid w:val="0009629F"/>
    <w:rsid w:val="000968C2"/>
    <w:rsid w:val="00096DD2"/>
    <w:rsid w:val="00096EB1"/>
    <w:rsid w:val="0009747E"/>
    <w:rsid w:val="0009771D"/>
    <w:rsid w:val="00097ED8"/>
    <w:rsid w:val="000A05A8"/>
    <w:rsid w:val="000A0B45"/>
    <w:rsid w:val="000A1654"/>
    <w:rsid w:val="000A18CE"/>
    <w:rsid w:val="000A1FD3"/>
    <w:rsid w:val="000A268C"/>
    <w:rsid w:val="000A2CF9"/>
    <w:rsid w:val="000A2E33"/>
    <w:rsid w:val="000A3B00"/>
    <w:rsid w:val="000A3C83"/>
    <w:rsid w:val="000A3DEC"/>
    <w:rsid w:val="000A3F2C"/>
    <w:rsid w:val="000A5114"/>
    <w:rsid w:val="000A5801"/>
    <w:rsid w:val="000A58B0"/>
    <w:rsid w:val="000B0331"/>
    <w:rsid w:val="000B036F"/>
    <w:rsid w:val="000B07BE"/>
    <w:rsid w:val="000B1136"/>
    <w:rsid w:val="000B1539"/>
    <w:rsid w:val="000B1C2A"/>
    <w:rsid w:val="000B285C"/>
    <w:rsid w:val="000B2CA3"/>
    <w:rsid w:val="000B4AA6"/>
    <w:rsid w:val="000B54EE"/>
    <w:rsid w:val="000B6D02"/>
    <w:rsid w:val="000B7616"/>
    <w:rsid w:val="000C0594"/>
    <w:rsid w:val="000C06AA"/>
    <w:rsid w:val="000C099B"/>
    <w:rsid w:val="000C0BF1"/>
    <w:rsid w:val="000C134F"/>
    <w:rsid w:val="000C1637"/>
    <w:rsid w:val="000C2472"/>
    <w:rsid w:val="000C3081"/>
    <w:rsid w:val="000C3B78"/>
    <w:rsid w:val="000C3FB6"/>
    <w:rsid w:val="000C44A1"/>
    <w:rsid w:val="000C45AC"/>
    <w:rsid w:val="000C4B1E"/>
    <w:rsid w:val="000C4D36"/>
    <w:rsid w:val="000C5086"/>
    <w:rsid w:val="000C5F2A"/>
    <w:rsid w:val="000C5FBB"/>
    <w:rsid w:val="000C6B91"/>
    <w:rsid w:val="000C7036"/>
    <w:rsid w:val="000C7591"/>
    <w:rsid w:val="000D06AF"/>
    <w:rsid w:val="000D08E7"/>
    <w:rsid w:val="000D0CD0"/>
    <w:rsid w:val="000D10FC"/>
    <w:rsid w:val="000D2161"/>
    <w:rsid w:val="000D30A7"/>
    <w:rsid w:val="000D31D0"/>
    <w:rsid w:val="000D3351"/>
    <w:rsid w:val="000D36FE"/>
    <w:rsid w:val="000D44C6"/>
    <w:rsid w:val="000D46D4"/>
    <w:rsid w:val="000D4A3A"/>
    <w:rsid w:val="000D512A"/>
    <w:rsid w:val="000D54CB"/>
    <w:rsid w:val="000D6AD1"/>
    <w:rsid w:val="000D6AE0"/>
    <w:rsid w:val="000D72C0"/>
    <w:rsid w:val="000D7350"/>
    <w:rsid w:val="000D7E78"/>
    <w:rsid w:val="000E0F70"/>
    <w:rsid w:val="000E1B3C"/>
    <w:rsid w:val="000E1C54"/>
    <w:rsid w:val="000E1FEE"/>
    <w:rsid w:val="000E2275"/>
    <w:rsid w:val="000E2D9A"/>
    <w:rsid w:val="000E2FEB"/>
    <w:rsid w:val="000E3B30"/>
    <w:rsid w:val="000E4038"/>
    <w:rsid w:val="000E564A"/>
    <w:rsid w:val="000E5A08"/>
    <w:rsid w:val="000E6982"/>
    <w:rsid w:val="000E6B96"/>
    <w:rsid w:val="000E6D73"/>
    <w:rsid w:val="000E6E40"/>
    <w:rsid w:val="000E703B"/>
    <w:rsid w:val="000E7D43"/>
    <w:rsid w:val="000F2584"/>
    <w:rsid w:val="000F2987"/>
    <w:rsid w:val="000F2EDB"/>
    <w:rsid w:val="000F2FFD"/>
    <w:rsid w:val="000F3767"/>
    <w:rsid w:val="000F4520"/>
    <w:rsid w:val="000F46D9"/>
    <w:rsid w:val="000F4A3B"/>
    <w:rsid w:val="000F4F12"/>
    <w:rsid w:val="000F5A6E"/>
    <w:rsid w:val="000F6478"/>
    <w:rsid w:val="000F6614"/>
    <w:rsid w:val="000F6B5C"/>
    <w:rsid w:val="00100699"/>
    <w:rsid w:val="001007D0"/>
    <w:rsid w:val="00102A42"/>
    <w:rsid w:val="00103874"/>
    <w:rsid w:val="001047A1"/>
    <w:rsid w:val="001050CA"/>
    <w:rsid w:val="00105A7E"/>
    <w:rsid w:val="0010617A"/>
    <w:rsid w:val="001061DB"/>
    <w:rsid w:val="00106496"/>
    <w:rsid w:val="001064FA"/>
    <w:rsid w:val="00106899"/>
    <w:rsid w:val="00107968"/>
    <w:rsid w:val="00107A7D"/>
    <w:rsid w:val="00110CAF"/>
    <w:rsid w:val="001115B2"/>
    <w:rsid w:val="0011169C"/>
    <w:rsid w:val="00111B5D"/>
    <w:rsid w:val="00112740"/>
    <w:rsid w:val="00112872"/>
    <w:rsid w:val="00112A2C"/>
    <w:rsid w:val="00112F82"/>
    <w:rsid w:val="0011397C"/>
    <w:rsid w:val="00113B68"/>
    <w:rsid w:val="001143AF"/>
    <w:rsid w:val="0011458C"/>
    <w:rsid w:val="00114590"/>
    <w:rsid w:val="0011522C"/>
    <w:rsid w:val="0011522D"/>
    <w:rsid w:val="001156B5"/>
    <w:rsid w:val="00115807"/>
    <w:rsid w:val="00115D33"/>
    <w:rsid w:val="001167A3"/>
    <w:rsid w:val="00117374"/>
    <w:rsid w:val="001218A5"/>
    <w:rsid w:val="00122076"/>
    <w:rsid w:val="00123733"/>
    <w:rsid w:val="00124D45"/>
    <w:rsid w:val="001250F6"/>
    <w:rsid w:val="00125792"/>
    <w:rsid w:val="00126293"/>
    <w:rsid w:val="001265C3"/>
    <w:rsid w:val="00126B9B"/>
    <w:rsid w:val="00127145"/>
    <w:rsid w:val="00127A74"/>
    <w:rsid w:val="00127C46"/>
    <w:rsid w:val="0013051B"/>
    <w:rsid w:val="001317B4"/>
    <w:rsid w:val="00131AA9"/>
    <w:rsid w:val="00131F6D"/>
    <w:rsid w:val="00132CD1"/>
    <w:rsid w:val="00133127"/>
    <w:rsid w:val="00134912"/>
    <w:rsid w:val="001363F6"/>
    <w:rsid w:val="00136868"/>
    <w:rsid w:val="00136E62"/>
    <w:rsid w:val="0013734B"/>
    <w:rsid w:val="0014008D"/>
    <w:rsid w:val="001404B9"/>
    <w:rsid w:val="001409FD"/>
    <w:rsid w:val="00141153"/>
    <w:rsid w:val="00141F95"/>
    <w:rsid w:val="00143A35"/>
    <w:rsid w:val="00144702"/>
    <w:rsid w:val="0014482B"/>
    <w:rsid w:val="0014496A"/>
    <w:rsid w:val="00144C80"/>
    <w:rsid w:val="001451F2"/>
    <w:rsid w:val="00146004"/>
    <w:rsid w:val="001460E2"/>
    <w:rsid w:val="00146310"/>
    <w:rsid w:val="0014632A"/>
    <w:rsid w:val="00146385"/>
    <w:rsid w:val="001464DE"/>
    <w:rsid w:val="0014670C"/>
    <w:rsid w:val="00146A76"/>
    <w:rsid w:val="00146D44"/>
    <w:rsid w:val="00146DA7"/>
    <w:rsid w:val="001473EC"/>
    <w:rsid w:val="001477AD"/>
    <w:rsid w:val="00147B0C"/>
    <w:rsid w:val="00147C05"/>
    <w:rsid w:val="00147F24"/>
    <w:rsid w:val="001507B5"/>
    <w:rsid w:val="00150E46"/>
    <w:rsid w:val="00151144"/>
    <w:rsid w:val="00151CDB"/>
    <w:rsid w:val="00151D32"/>
    <w:rsid w:val="001520F8"/>
    <w:rsid w:val="001528C4"/>
    <w:rsid w:val="001537F3"/>
    <w:rsid w:val="0015388B"/>
    <w:rsid w:val="00154393"/>
    <w:rsid w:val="00154F38"/>
    <w:rsid w:val="00155A3B"/>
    <w:rsid w:val="00155BFE"/>
    <w:rsid w:val="00156A09"/>
    <w:rsid w:val="00157677"/>
    <w:rsid w:val="0016172C"/>
    <w:rsid w:val="00161D3E"/>
    <w:rsid w:val="00161ED9"/>
    <w:rsid w:val="00162566"/>
    <w:rsid w:val="001634B9"/>
    <w:rsid w:val="0016353B"/>
    <w:rsid w:val="00164004"/>
    <w:rsid w:val="001655B6"/>
    <w:rsid w:val="00165A5E"/>
    <w:rsid w:val="0016646E"/>
    <w:rsid w:val="001672A4"/>
    <w:rsid w:val="00171049"/>
    <w:rsid w:val="00171B7C"/>
    <w:rsid w:val="00171CFF"/>
    <w:rsid w:val="0017292B"/>
    <w:rsid w:val="00172F9D"/>
    <w:rsid w:val="00173BA5"/>
    <w:rsid w:val="00174708"/>
    <w:rsid w:val="00174E7C"/>
    <w:rsid w:val="00175056"/>
    <w:rsid w:val="00175777"/>
    <w:rsid w:val="00175989"/>
    <w:rsid w:val="00175B0C"/>
    <w:rsid w:val="001765E4"/>
    <w:rsid w:val="00177BB7"/>
    <w:rsid w:val="00177D59"/>
    <w:rsid w:val="00180030"/>
    <w:rsid w:val="0018109D"/>
    <w:rsid w:val="00181527"/>
    <w:rsid w:val="00182474"/>
    <w:rsid w:val="00182954"/>
    <w:rsid w:val="00182DEB"/>
    <w:rsid w:val="00184391"/>
    <w:rsid w:val="00184770"/>
    <w:rsid w:val="00185185"/>
    <w:rsid w:val="001851CC"/>
    <w:rsid w:val="00185662"/>
    <w:rsid w:val="001859AB"/>
    <w:rsid w:val="00186B36"/>
    <w:rsid w:val="0018740C"/>
    <w:rsid w:val="00187D99"/>
    <w:rsid w:val="00190674"/>
    <w:rsid w:val="00190C1B"/>
    <w:rsid w:val="0019194A"/>
    <w:rsid w:val="00192A3C"/>
    <w:rsid w:val="00192BB5"/>
    <w:rsid w:val="00193658"/>
    <w:rsid w:val="001945F0"/>
    <w:rsid w:val="0019511A"/>
    <w:rsid w:val="001962A6"/>
    <w:rsid w:val="0019713B"/>
    <w:rsid w:val="00197CD7"/>
    <w:rsid w:val="001A0CBB"/>
    <w:rsid w:val="001A1097"/>
    <w:rsid w:val="001A22FC"/>
    <w:rsid w:val="001A4EC0"/>
    <w:rsid w:val="001A5430"/>
    <w:rsid w:val="001A6188"/>
    <w:rsid w:val="001A7E79"/>
    <w:rsid w:val="001B0AC7"/>
    <w:rsid w:val="001B0E1C"/>
    <w:rsid w:val="001B0FF5"/>
    <w:rsid w:val="001B13EA"/>
    <w:rsid w:val="001B1AA7"/>
    <w:rsid w:val="001B1E98"/>
    <w:rsid w:val="001B2D5A"/>
    <w:rsid w:val="001B2DA8"/>
    <w:rsid w:val="001B2F0E"/>
    <w:rsid w:val="001B32B1"/>
    <w:rsid w:val="001B40B4"/>
    <w:rsid w:val="001B44C7"/>
    <w:rsid w:val="001B454D"/>
    <w:rsid w:val="001B4733"/>
    <w:rsid w:val="001B691D"/>
    <w:rsid w:val="001B6C04"/>
    <w:rsid w:val="001B6DAE"/>
    <w:rsid w:val="001B6E5A"/>
    <w:rsid w:val="001B7D72"/>
    <w:rsid w:val="001C1F26"/>
    <w:rsid w:val="001C2022"/>
    <w:rsid w:val="001C206A"/>
    <w:rsid w:val="001C27AC"/>
    <w:rsid w:val="001C2D8A"/>
    <w:rsid w:val="001C2E96"/>
    <w:rsid w:val="001C426B"/>
    <w:rsid w:val="001C4297"/>
    <w:rsid w:val="001C5238"/>
    <w:rsid w:val="001C537D"/>
    <w:rsid w:val="001C55A5"/>
    <w:rsid w:val="001C5F47"/>
    <w:rsid w:val="001C5FBD"/>
    <w:rsid w:val="001C60E2"/>
    <w:rsid w:val="001C7969"/>
    <w:rsid w:val="001D0499"/>
    <w:rsid w:val="001D0E89"/>
    <w:rsid w:val="001D1A4C"/>
    <w:rsid w:val="001D1EE4"/>
    <w:rsid w:val="001D29C1"/>
    <w:rsid w:val="001D2FC8"/>
    <w:rsid w:val="001D3E55"/>
    <w:rsid w:val="001D417E"/>
    <w:rsid w:val="001D4378"/>
    <w:rsid w:val="001D47F0"/>
    <w:rsid w:val="001D4A39"/>
    <w:rsid w:val="001D5476"/>
    <w:rsid w:val="001D5527"/>
    <w:rsid w:val="001D5802"/>
    <w:rsid w:val="001D736D"/>
    <w:rsid w:val="001D7AB0"/>
    <w:rsid w:val="001E0AE9"/>
    <w:rsid w:val="001E0C16"/>
    <w:rsid w:val="001E164C"/>
    <w:rsid w:val="001E17A3"/>
    <w:rsid w:val="001E1DA7"/>
    <w:rsid w:val="001E1DDB"/>
    <w:rsid w:val="001E2157"/>
    <w:rsid w:val="001E2431"/>
    <w:rsid w:val="001E243B"/>
    <w:rsid w:val="001E25B3"/>
    <w:rsid w:val="001E2C6F"/>
    <w:rsid w:val="001E3827"/>
    <w:rsid w:val="001E3D96"/>
    <w:rsid w:val="001E3FE9"/>
    <w:rsid w:val="001E4953"/>
    <w:rsid w:val="001E512C"/>
    <w:rsid w:val="001E5626"/>
    <w:rsid w:val="001E5779"/>
    <w:rsid w:val="001E5A34"/>
    <w:rsid w:val="001E5BC8"/>
    <w:rsid w:val="001E6017"/>
    <w:rsid w:val="001E65E7"/>
    <w:rsid w:val="001E675E"/>
    <w:rsid w:val="001E777F"/>
    <w:rsid w:val="001F124A"/>
    <w:rsid w:val="001F1D7B"/>
    <w:rsid w:val="001F1FC0"/>
    <w:rsid w:val="001F315B"/>
    <w:rsid w:val="001F3709"/>
    <w:rsid w:val="001F48CC"/>
    <w:rsid w:val="001F4D89"/>
    <w:rsid w:val="001F58AD"/>
    <w:rsid w:val="001F6B58"/>
    <w:rsid w:val="001F6C3E"/>
    <w:rsid w:val="001F6D2B"/>
    <w:rsid w:val="001F7060"/>
    <w:rsid w:val="001F72D1"/>
    <w:rsid w:val="001F7626"/>
    <w:rsid w:val="001F7DD6"/>
    <w:rsid w:val="00200B81"/>
    <w:rsid w:val="00200CC7"/>
    <w:rsid w:val="00200EA5"/>
    <w:rsid w:val="002010C4"/>
    <w:rsid w:val="00201947"/>
    <w:rsid w:val="0020287E"/>
    <w:rsid w:val="002034B6"/>
    <w:rsid w:val="002034D5"/>
    <w:rsid w:val="00203519"/>
    <w:rsid w:val="00203AD9"/>
    <w:rsid w:val="00204712"/>
    <w:rsid w:val="0020477A"/>
    <w:rsid w:val="00205512"/>
    <w:rsid w:val="002068CC"/>
    <w:rsid w:val="0020711B"/>
    <w:rsid w:val="00207678"/>
    <w:rsid w:val="00207A7B"/>
    <w:rsid w:val="00207C29"/>
    <w:rsid w:val="00207C88"/>
    <w:rsid w:val="00207F55"/>
    <w:rsid w:val="00207F91"/>
    <w:rsid w:val="00207FDB"/>
    <w:rsid w:val="00212829"/>
    <w:rsid w:val="00212993"/>
    <w:rsid w:val="00212F0D"/>
    <w:rsid w:val="002134E2"/>
    <w:rsid w:val="00213ACB"/>
    <w:rsid w:val="00213C4C"/>
    <w:rsid w:val="00213C8D"/>
    <w:rsid w:val="00214ABB"/>
    <w:rsid w:val="00215059"/>
    <w:rsid w:val="002154C7"/>
    <w:rsid w:val="00215C96"/>
    <w:rsid w:val="00216E29"/>
    <w:rsid w:val="00220491"/>
    <w:rsid w:val="00220AA9"/>
    <w:rsid w:val="00220DAA"/>
    <w:rsid w:val="0022122A"/>
    <w:rsid w:val="00222371"/>
    <w:rsid w:val="002226EC"/>
    <w:rsid w:val="00223217"/>
    <w:rsid w:val="00223434"/>
    <w:rsid w:val="002238A1"/>
    <w:rsid w:val="00223EA8"/>
    <w:rsid w:val="00224BAC"/>
    <w:rsid w:val="002265D8"/>
    <w:rsid w:val="00226664"/>
    <w:rsid w:val="00226CB1"/>
    <w:rsid w:val="00227218"/>
    <w:rsid w:val="002279F6"/>
    <w:rsid w:val="00230B2F"/>
    <w:rsid w:val="00230BE2"/>
    <w:rsid w:val="0023308F"/>
    <w:rsid w:val="0023463D"/>
    <w:rsid w:val="00234F1F"/>
    <w:rsid w:val="00235254"/>
    <w:rsid w:val="002359AB"/>
    <w:rsid w:val="00235D93"/>
    <w:rsid w:val="002362BA"/>
    <w:rsid w:val="002370D2"/>
    <w:rsid w:val="00237167"/>
    <w:rsid w:val="00237FB0"/>
    <w:rsid w:val="00240D55"/>
    <w:rsid w:val="00241C1B"/>
    <w:rsid w:val="002425FC"/>
    <w:rsid w:val="00242E25"/>
    <w:rsid w:val="00242F27"/>
    <w:rsid w:val="0024301D"/>
    <w:rsid w:val="00243CBC"/>
    <w:rsid w:val="00243CD2"/>
    <w:rsid w:val="00243F45"/>
    <w:rsid w:val="00243F9F"/>
    <w:rsid w:val="002442D4"/>
    <w:rsid w:val="00244716"/>
    <w:rsid w:val="00245877"/>
    <w:rsid w:val="002459EC"/>
    <w:rsid w:val="002461E7"/>
    <w:rsid w:val="0024621F"/>
    <w:rsid w:val="002465CF"/>
    <w:rsid w:val="00246D84"/>
    <w:rsid w:val="002472BE"/>
    <w:rsid w:val="002476AB"/>
    <w:rsid w:val="00247DE4"/>
    <w:rsid w:val="002502B1"/>
    <w:rsid w:val="00250838"/>
    <w:rsid w:val="0025099A"/>
    <w:rsid w:val="00250F7F"/>
    <w:rsid w:val="00253750"/>
    <w:rsid w:val="00254186"/>
    <w:rsid w:val="002544AF"/>
    <w:rsid w:val="002549E6"/>
    <w:rsid w:val="00254B9B"/>
    <w:rsid w:val="00255C58"/>
    <w:rsid w:val="0025727E"/>
    <w:rsid w:val="002572E0"/>
    <w:rsid w:val="0025737E"/>
    <w:rsid w:val="002578E0"/>
    <w:rsid w:val="00257CBA"/>
    <w:rsid w:val="00257DD1"/>
    <w:rsid w:val="00260505"/>
    <w:rsid w:val="00260FF0"/>
    <w:rsid w:val="00261C77"/>
    <w:rsid w:val="00261D1E"/>
    <w:rsid w:val="0026230C"/>
    <w:rsid w:val="00262489"/>
    <w:rsid w:val="00262856"/>
    <w:rsid w:val="00262EB6"/>
    <w:rsid w:val="00263339"/>
    <w:rsid w:val="00263518"/>
    <w:rsid w:val="002639A1"/>
    <w:rsid w:val="0026415C"/>
    <w:rsid w:val="0026467E"/>
    <w:rsid w:val="00264794"/>
    <w:rsid w:val="00264CBD"/>
    <w:rsid w:val="00265EBD"/>
    <w:rsid w:val="002713C8"/>
    <w:rsid w:val="0027253E"/>
    <w:rsid w:val="002725E9"/>
    <w:rsid w:val="00272DBE"/>
    <w:rsid w:val="00272E3C"/>
    <w:rsid w:val="00272E50"/>
    <w:rsid w:val="00273993"/>
    <w:rsid w:val="00273C59"/>
    <w:rsid w:val="00274566"/>
    <w:rsid w:val="002751C1"/>
    <w:rsid w:val="00275E21"/>
    <w:rsid w:val="002807C1"/>
    <w:rsid w:val="002808B8"/>
    <w:rsid w:val="00280E68"/>
    <w:rsid w:val="0028212E"/>
    <w:rsid w:val="00282AC1"/>
    <w:rsid w:val="00283FCC"/>
    <w:rsid w:val="002845C6"/>
    <w:rsid w:val="00284BBE"/>
    <w:rsid w:val="00285E8E"/>
    <w:rsid w:val="00286A19"/>
    <w:rsid w:val="00286DAE"/>
    <w:rsid w:val="00290315"/>
    <w:rsid w:val="00290EC3"/>
    <w:rsid w:val="002916C5"/>
    <w:rsid w:val="00291B8E"/>
    <w:rsid w:val="00292399"/>
    <w:rsid w:val="00292768"/>
    <w:rsid w:val="00292D93"/>
    <w:rsid w:val="00292E5E"/>
    <w:rsid w:val="00293920"/>
    <w:rsid w:val="0029433A"/>
    <w:rsid w:val="00295A25"/>
    <w:rsid w:val="00295AA2"/>
    <w:rsid w:val="00295AF8"/>
    <w:rsid w:val="0029697E"/>
    <w:rsid w:val="00296B3A"/>
    <w:rsid w:val="00296B41"/>
    <w:rsid w:val="00297B89"/>
    <w:rsid w:val="002A00AC"/>
    <w:rsid w:val="002A00FF"/>
    <w:rsid w:val="002A0408"/>
    <w:rsid w:val="002A1EB1"/>
    <w:rsid w:val="002A2167"/>
    <w:rsid w:val="002A282D"/>
    <w:rsid w:val="002A3A90"/>
    <w:rsid w:val="002A4047"/>
    <w:rsid w:val="002A4863"/>
    <w:rsid w:val="002A492F"/>
    <w:rsid w:val="002A4972"/>
    <w:rsid w:val="002A6D30"/>
    <w:rsid w:val="002A7EED"/>
    <w:rsid w:val="002B0097"/>
    <w:rsid w:val="002B0A08"/>
    <w:rsid w:val="002B11DA"/>
    <w:rsid w:val="002B21EF"/>
    <w:rsid w:val="002B2829"/>
    <w:rsid w:val="002B2C0D"/>
    <w:rsid w:val="002B39D3"/>
    <w:rsid w:val="002B3F29"/>
    <w:rsid w:val="002B3F8F"/>
    <w:rsid w:val="002B4B1A"/>
    <w:rsid w:val="002B511B"/>
    <w:rsid w:val="002B511F"/>
    <w:rsid w:val="002B5510"/>
    <w:rsid w:val="002B6CB5"/>
    <w:rsid w:val="002B7102"/>
    <w:rsid w:val="002C0597"/>
    <w:rsid w:val="002C0BC2"/>
    <w:rsid w:val="002C0E8A"/>
    <w:rsid w:val="002C18FD"/>
    <w:rsid w:val="002C1D0D"/>
    <w:rsid w:val="002C218C"/>
    <w:rsid w:val="002C3D53"/>
    <w:rsid w:val="002C3EA3"/>
    <w:rsid w:val="002C44E3"/>
    <w:rsid w:val="002C5596"/>
    <w:rsid w:val="002C56AF"/>
    <w:rsid w:val="002C57E9"/>
    <w:rsid w:val="002C5B07"/>
    <w:rsid w:val="002C6B72"/>
    <w:rsid w:val="002C7B08"/>
    <w:rsid w:val="002C7BFC"/>
    <w:rsid w:val="002D01AF"/>
    <w:rsid w:val="002D101F"/>
    <w:rsid w:val="002D10C6"/>
    <w:rsid w:val="002D1382"/>
    <w:rsid w:val="002D1951"/>
    <w:rsid w:val="002D245A"/>
    <w:rsid w:val="002D2EA8"/>
    <w:rsid w:val="002D2FA5"/>
    <w:rsid w:val="002D3AB7"/>
    <w:rsid w:val="002D4094"/>
    <w:rsid w:val="002D4168"/>
    <w:rsid w:val="002D56E0"/>
    <w:rsid w:val="002D5933"/>
    <w:rsid w:val="002D59D6"/>
    <w:rsid w:val="002D651D"/>
    <w:rsid w:val="002D6C92"/>
    <w:rsid w:val="002D6F46"/>
    <w:rsid w:val="002D730E"/>
    <w:rsid w:val="002D7A9F"/>
    <w:rsid w:val="002E0C51"/>
    <w:rsid w:val="002E0FB1"/>
    <w:rsid w:val="002E228F"/>
    <w:rsid w:val="002E28D1"/>
    <w:rsid w:val="002E2E04"/>
    <w:rsid w:val="002E2FB8"/>
    <w:rsid w:val="002E3E0E"/>
    <w:rsid w:val="002E3F5C"/>
    <w:rsid w:val="002E4CB8"/>
    <w:rsid w:val="002E5222"/>
    <w:rsid w:val="002E568C"/>
    <w:rsid w:val="002F07C8"/>
    <w:rsid w:val="002F1269"/>
    <w:rsid w:val="002F1E82"/>
    <w:rsid w:val="002F1F9C"/>
    <w:rsid w:val="002F206F"/>
    <w:rsid w:val="002F393D"/>
    <w:rsid w:val="002F434F"/>
    <w:rsid w:val="002F43B9"/>
    <w:rsid w:val="002F43E0"/>
    <w:rsid w:val="002F58DC"/>
    <w:rsid w:val="002F6E9D"/>
    <w:rsid w:val="002F6EDE"/>
    <w:rsid w:val="002F79AE"/>
    <w:rsid w:val="002F7EFB"/>
    <w:rsid w:val="0030058B"/>
    <w:rsid w:val="00301485"/>
    <w:rsid w:val="0030244D"/>
    <w:rsid w:val="00302AA4"/>
    <w:rsid w:val="00302EF4"/>
    <w:rsid w:val="00303547"/>
    <w:rsid w:val="00303980"/>
    <w:rsid w:val="00303E68"/>
    <w:rsid w:val="00304285"/>
    <w:rsid w:val="00304A8A"/>
    <w:rsid w:val="00305623"/>
    <w:rsid w:val="00306DD1"/>
    <w:rsid w:val="003104E1"/>
    <w:rsid w:val="00310AE8"/>
    <w:rsid w:val="00310C4E"/>
    <w:rsid w:val="00310FE8"/>
    <w:rsid w:val="003115E8"/>
    <w:rsid w:val="00311B63"/>
    <w:rsid w:val="003125D7"/>
    <w:rsid w:val="0031361C"/>
    <w:rsid w:val="00314FEB"/>
    <w:rsid w:val="003151FE"/>
    <w:rsid w:val="003156DA"/>
    <w:rsid w:val="003202D4"/>
    <w:rsid w:val="0032071D"/>
    <w:rsid w:val="00320EF8"/>
    <w:rsid w:val="0032137A"/>
    <w:rsid w:val="0032156A"/>
    <w:rsid w:val="00321F89"/>
    <w:rsid w:val="003222FE"/>
    <w:rsid w:val="00322A77"/>
    <w:rsid w:val="00322FA5"/>
    <w:rsid w:val="003238AC"/>
    <w:rsid w:val="00323A0B"/>
    <w:rsid w:val="00324191"/>
    <w:rsid w:val="003242F3"/>
    <w:rsid w:val="00324A1B"/>
    <w:rsid w:val="003257D3"/>
    <w:rsid w:val="00326270"/>
    <w:rsid w:val="00326656"/>
    <w:rsid w:val="0032675B"/>
    <w:rsid w:val="00327575"/>
    <w:rsid w:val="003277F7"/>
    <w:rsid w:val="00330696"/>
    <w:rsid w:val="003312D5"/>
    <w:rsid w:val="0033235F"/>
    <w:rsid w:val="0033280C"/>
    <w:rsid w:val="003329DE"/>
    <w:rsid w:val="00332BC1"/>
    <w:rsid w:val="003333A8"/>
    <w:rsid w:val="0033348C"/>
    <w:rsid w:val="003336E2"/>
    <w:rsid w:val="00334536"/>
    <w:rsid w:val="0033794B"/>
    <w:rsid w:val="00340E14"/>
    <w:rsid w:val="00340F4E"/>
    <w:rsid w:val="00341528"/>
    <w:rsid w:val="0034168D"/>
    <w:rsid w:val="00341E3B"/>
    <w:rsid w:val="0034287C"/>
    <w:rsid w:val="00342D08"/>
    <w:rsid w:val="003434C2"/>
    <w:rsid w:val="003434D3"/>
    <w:rsid w:val="00344535"/>
    <w:rsid w:val="00345157"/>
    <w:rsid w:val="00346565"/>
    <w:rsid w:val="00346B30"/>
    <w:rsid w:val="00346CC2"/>
    <w:rsid w:val="003474AF"/>
    <w:rsid w:val="00347762"/>
    <w:rsid w:val="00347BB4"/>
    <w:rsid w:val="00350091"/>
    <w:rsid w:val="003508F0"/>
    <w:rsid w:val="00351A4E"/>
    <w:rsid w:val="00351AA4"/>
    <w:rsid w:val="00352167"/>
    <w:rsid w:val="00352799"/>
    <w:rsid w:val="0035309D"/>
    <w:rsid w:val="003534F0"/>
    <w:rsid w:val="00354163"/>
    <w:rsid w:val="003544C1"/>
    <w:rsid w:val="00354734"/>
    <w:rsid w:val="00354A92"/>
    <w:rsid w:val="00356121"/>
    <w:rsid w:val="003561A9"/>
    <w:rsid w:val="003561C6"/>
    <w:rsid w:val="0035621C"/>
    <w:rsid w:val="0035629F"/>
    <w:rsid w:val="0035647C"/>
    <w:rsid w:val="00356547"/>
    <w:rsid w:val="0035683C"/>
    <w:rsid w:val="00360884"/>
    <w:rsid w:val="00362E76"/>
    <w:rsid w:val="00363D90"/>
    <w:rsid w:val="00364106"/>
    <w:rsid w:val="00364377"/>
    <w:rsid w:val="003649A7"/>
    <w:rsid w:val="003649AF"/>
    <w:rsid w:val="00364F1F"/>
    <w:rsid w:val="00365135"/>
    <w:rsid w:val="00365D2F"/>
    <w:rsid w:val="00366AD1"/>
    <w:rsid w:val="003672A4"/>
    <w:rsid w:val="00370B25"/>
    <w:rsid w:val="00370B5C"/>
    <w:rsid w:val="00371094"/>
    <w:rsid w:val="003713E1"/>
    <w:rsid w:val="003725B7"/>
    <w:rsid w:val="00372B67"/>
    <w:rsid w:val="00372F59"/>
    <w:rsid w:val="003750F6"/>
    <w:rsid w:val="00375287"/>
    <w:rsid w:val="003754C6"/>
    <w:rsid w:val="003755DC"/>
    <w:rsid w:val="003756FA"/>
    <w:rsid w:val="00375974"/>
    <w:rsid w:val="003759E6"/>
    <w:rsid w:val="00376C80"/>
    <w:rsid w:val="003775BC"/>
    <w:rsid w:val="00377A85"/>
    <w:rsid w:val="00377BB2"/>
    <w:rsid w:val="003803BE"/>
    <w:rsid w:val="00380C49"/>
    <w:rsid w:val="0038160C"/>
    <w:rsid w:val="00381D2D"/>
    <w:rsid w:val="0038202B"/>
    <w:rsid w:val="00382432"/>
    <w:rsid w:val="003824EB"/>
    <w:rsid w:val="0038351B"/>
    <w:rsid w:val="003835D4"/>
    <w:rsid w:val="00383A04"/>
    <w:rsid w:val="003845BA"/>
    <w:rsid w:val="0038467F"/>
    <w:rsid w:val="0038498E"/>
    <w:rsid w:val="00384B6B"/>
    <w:rsid w:val="003855E0"/>
    <w:rsid w:val="0038588A"/>
    <w:rsid w:val="00385B5B"/>
    <w:rsid w:val="00385EF9"/>
    <w:rsid w:val="00386626"/>
    <w:rsid w:val="0038717F"/>
    <w:rsid w:val="003879A3"/>
    <w:rsid w:val="00390613"/>
    <w:rsid w:val="00390750"/>
    <w:rsid w:val="00390757"/>
    <w:rsid w:val="003908EE"/>
    <w:rsid w:val="00390E49"/>
    <w:rsid w:val="003916E4"/>
    <w:rsid w:val="00391F56"/>
    <w:rsid w:val="003921FF"/>
    <w:rsid w:val="0039243E"/>
    <w:rsid w:val="003930BE"/>
    <w:rsid w:val="00393DA9"/>
    <w:rsid w:val="00393F2F"/>
    <w:rsid w:val="0039479C"/>
    <w:rsid w:val="003951AB"/>
    <w:rsid w:val="0039570F"/>
    <w:rsid w:val="00395E8C"/>
    <w:rsid w:val="00396A24"/>
    <w:rsid w:val="00396C80"/>
    <w:rsid w:val="0039703D"/>
    <w:rsid w:val="0039712C"/>
    <w:rsid w:val="00397154"/>
    <w:rsid w:val="00397331"/>
    <w:rsid w:val="003A03AC"/>
    <w:rsid w:val="003A0889"/>
    <w:rsid w:val="003A0947"/>
    <w:rsid w:val="003A0AC7"/>
    <w:rsid w:val="003A0B34"/>
    <w:rsid w:val="003A0D67"/>
    <w:rsid w:val="003A1911"/>
    <w:rsid w:val="003A1D72"/>
    <w:rsid w:val="003A3252"/>
    <w:rsid w:val="003A33E8"/>
    <w:rsid w:val="003A35CD"/>
    <w:rsid w:val="003A3769"/>
    <w:rsid w:val="003A4828"/>
    <w:rsid w:val="003A581D"/>
    <w:rsid w:val="003A5F0A"/>
    <w:rsid w:val="003A64E7"/>
    <w:rsid w:val="003A7677"/>
    <w:rsid w:val="003A7F0C"/>
    <w:rsid w:val="003B0943"/>
    <w:rsid w:val="003B149E"/>
    <w:rsid w:val="003B23A6"/>
    <w:rsid w:val="003B3BA5"/>
    <w:rsid w:val="003B3EB3"/>
    <w:rsid w:val="003B4C4E"/>
    <w:rsid w:val="003B5A66"/>
    <w:rsid w:val="003B6497"/>
    <w:rsid w:val="003B757B"/>
    <w:rsid w:val="003B7F00"/>
    <w:rsid w:val="003C0184"/>
    <w:rsid w:val="003C0461"/>
    <w:rsid w:val="003C0B19"/>
    <w:rsid w:val="003C1406"/>
    <w:rsid w:val="003C174C"/>
    <w:rsid w:val="003C1CE7"/>
    <w:rsid w:val="003C28E6"/>
    <w:rsid w:val="003C2CE8"/>
    <w:rsid w:val="003C31DF"/>
    <w:rsid w:val="003C3489"/>
    <w:rsid w:val="003C34B4"/>
    <w:rsid w:val="003C44CC"/>
    <w:rsid w:val="003C4753"/>
    <w:rsid w:val="003C4BD2"/>
    <w:rsid w:val="003C4DAC"/>
    <w:rsid w:val="003C565C"/>
    <w:rsid w:val="003C5F33"/>
    <w:rsid w:val="003C61BB"/>
    <w:rsid w:val="003C65DB"/>
    <w:rsid w:val="003C71FD"/>
    <w:rsid w:val="003C7A51"/>
    <w:rsid w:val="003C7CEE"/>
    <w:rsid w:val="003C7E2B"/>
    <w:rsid w:val="003C7F6C"/>
    <w:rsid w:val="003D043D"/>
    <w:rsid w:val="003D1948"/>
    <w:rsid w:val="003D2706"/>
    <w:rsid w:val="003D3472"/>
    <w:rsid w:val="003D3790"/>
    <w:rsid w:val="003D5073"/>
    <w:rsid w:val="003D5589"/>
    <w:rsid w:val="003D58A1"/>
    <w:rsid w:val="003D6FD7"/>
    <w:rsid w:val="003D72EF"/>
    <w:rsid w:val="003D785C"/>
    <w:rsid w:val="003E06E3"/>
    <w:rsid w:val="003E10E7"/>
    <w:rsid w:val="003E1B4D"/>
    <w:rsid w:val="003E2349"/>
    <w:rsid w:val="003E310B"/>
    <w:rsid w:val="003E33AB"/>
    <w:rsid w:val="003E34E3"/>
    <w:rsid w:val="003E4462"/>
    <w:rsid w:val="003E6762"/>
    <w:rsid w:val="003E7472"/>
    <w:rsid w:val="003E77C1"/>
    <w:rsid w:val="003F0361"/>
    <w:rsid w:val="003F06B3"/>
    <w:rsid w:val="003F0A2C"/>
    <w:rsid w:val="003F0B0D"/>
    <w:rsid w:val="003F109D"/>
    <w:rsid w:val="003F1E1E"/>
    <w:rsid w:val="003F1FA4"/>
    <w:rsid w:val="003F2125"/>
    <w:rsid w:val="003F2141"/>
    <w:rsid w:val="003F21D2"/>
    <w:rsid w:val="003F41FE"/>
    <w:rsid w:val="003F43D8"/>
    <w:rsid w:val="003F5033"/>
    <w:rsid w:val="003F5465"/>
    <w:rsid w:val="003F5835"/>
    <w:rsid w:val="003F5EAE"/>
    <w:rsid w:val="003F6BBF"/>
    <w:rsid w:val="00401079"/>
    <w:rsid w:val="00402BAD"/>
    <w:rsid w:val="00403151"/>
    <w:rsid w:val="00403319"/>
    <w:rsid w:val="004038A2"/>
    <w:rsid w:val="00404FC3"/>
    <w:rsid w:val="00405866"/>
    <w:rsid w:val="00405B78"/>
    <w:rsid w:val="00406140"/>
    <w:rsid w:val="004063E4"/>
    <w:rsid w:val="004063FF"/>
    <w:rsid w:val="00407B3A"/>
    <w:rsid w:val="00411087"/>
    <w:rsid w:val="0041157E"/>
    <w:rsid w:val="00411C96"/>
    <w:rsid w:val="00411CB1"/>
    <w:rsid w:val="00412368"/>
    <w:rsid w:val="004127EE"/>
    <w:rsid w:val="004132AD"/>
    <w:rsid w:val="00413552"/>
    <w:rsid w:val="00414403"/>
    <w:rsid w:val="004155F2"/>
    <w:rsid w:val="004159E1"/>
    <w:rsid w:val="0041620E"/>
    <w:rsid w:val="00416514"/>
    <w:rsid w:val="004170C7"/>
    <w:rsid w:val="004175BE"/>
    <w:rsid w:val="0041789D"/>
    <w:rsid w:val="00417C9A"/>
    <w:rsid w:val="004208B8"/>
    <w:rsid w:val="00420EE7"/>
    <w:rsid w:val="004211F0"/>
    <w:rsid w:val="0042128B"/>
    <w:rsid w:val="004217C0"/>
    <w:rsid w:val="00421D24"/>
    <w:rsid w:val="00421DB0"/>
    <w:rsid w:val="00422070"/>
    <w:rsid w:val="00422807"/>
    <w:rsid w:val="00422AD4"/>
    <w:rsid w:val="00423699"/>
    <w:rsid w:val="00423E37"/>
    <w:rsid w:val="00424229"/>
    <w:rsid w:val="0042477C"/>
    <w:rsid w:val="0042547D"/>
    <w:rsid w:val="004254DD"/>
    <w:rsid w:val="00425626"/>
    <w:rsid w:val="004261C4"/>
    <w:rsid w:val="00426740"/>
    <w:rsid w:val="004270A1"/>
    <w:rsid w:val="00427226"/>
    <w:rsid w:val="00427315"/>
    <w:rsid w:val="00430298"/>
    <w:rsid w:val="00430C8A"/>
    <w:rsid w:val="00431371"/>
    <w:rsid w:val="00431867"/>
    <w:rsid w:val="00431B87"/>
    <w:rsid w:val="00431D4C"/>
    <w:rsid w:val="0043267E"/>
    <w:rsid w:val="00432BAD"/>
    <w:rsid w:val="004342FE"/>
    <w:rsid w:val="0043461C"/>
    <w:rsid w:val="00434CE1"/>
    <w:rsid w:val="00435A67"/>
    <w:rsid w:val="00435AF4"/>
    <w:rsid w:val="00436A4F"/>
    <w:rsid w:val="00436D2E"/>
    <w:rsid w:val="00437665"/>
    <w:rsid w:val="0043775D"/>
    <w:rsid w:val="004379E7"/>
    <w:rsid w:val="00437B90"/>
    <w:rsid w:val="00437EAB"/>
    <w:rsid w:val="00440790"/>
    <w:rsid w:val="00441A70"/>
    <w:rsid w:val="00441C04"/>
    <w:rsid w:val="004431F8"/>
    <w:rsid w:val="004459DF"/>
    <w:rsid w:val="00446649"/>
    <w:rsid w:val="004467B2"/>
    <w:rsid w:val="004467B5"/>
    <w:rsid w:val="00446B21"/>
    <w:rsid w:val="00446CA4"/>
    <w:rsid w:val="00446E63"/>
    <w:rsid w:val="00447151"/>
    <w:rsid w:val="00447E21"/>
    <w:rsid w:val="00447F60"/>
    <w:rsid w:val="00447F9E"/>
    <w:rsid w:val="00450AEF"/>
    <w:rsid w:val="00450D5C"/>
    <w:rsid w:val="004517D3"/>
    <w:rsid w:val="00451C86"/>
    <w:rsid w:val="00451DEC"/>
    <w:rsid w:val="00451F8F"/>
    <w:rsid w:val="00452510"/>
    <w:rsid w:val="00452572"/>
    <w:rsid w:val="004528C2"/>
    <w:rsid w:val="004528F5"/>
    <w:rsid w:val="00452BF6"/>
    <w:rsid w:val="00453035"/>
    <w:rsid w:val="0045376F"/>
    <w:rsid w:val="00454686"/>
    <w:rsid w:val="00454A89"/>
    <w:rsid w:val="004554C4"/>
    <w:rsid w:val="00455DAF"/>
    <w:rsid w:val="004560C4"/>
    <w:rsid w:val="00456D40"/>
    <w:rsid w:val="004613F9"/>
    <w:rsid w:val="00461800"/>
    <w:rsid w:val="00461931"/>
    <w:rsid w:val="0046262A"/>
    <w:rsid w:val="00462770"/>
    <w:rsid w:val="004632BD"/>
    <w:rsid w:val="00463DF7"/>
    <w:rsid w:val="00463E72"/>
    <w:rsid w:val="004640A5"/>
    <w:rsid w:val="00464116"/>
    <w:rsid w:val="00464992"/>
    <w:rsid w:val="00464EE9"/>
    <w:rsid w:val="00465886"/>
    <w:rsid w:val="004658A9"/>
    <w:rsid w:val="0046617F"/>
    <w:rsid w:val="0046638F"/>
    <w:rsid w:val="00467C7A"/>
    <w:rsid w:val="00467DD1"/>
    <w:rsid w:val="00470297"/>
    <w:rsid w:val="00470B1D"/>
    <w:rsid w:val="0047129D"/>
    <w:rsid w:val="00471A1E"/>
    <w:rsid w:val="004721B8"/>
    <w:rsid w:val="00472D2F"/>
    <w:rsid w:val="00473CB4"/>
    <w:rsid w:val="004747B5"/>
    <w:rsid w:val="00474EA7"/>
    <w:rsid w:val="004750E1"/>
    <w:rsid w:val="00475240"/>
    <w:rsid w:val="0047527C"/>
    <w:rsid w:val="0047612E"/>
    <w:rsid w:val="00476357"/>
    <w:rsid w:val="00476472"/>
    <w:rsid w:val="00476E0C"/>
    <w:rsid w:val="00477162"/>
    <w:rsid w:val="004779F9"/>
    <w:rsid w:val="0048027F"/>
    <w:rsid w:val="00480628"/>
    <w:rsid w:val="0048168D"/>
    <w:rsid w:val="00482124"/>
    <w:rsid w:val="004821B3"/>
    <w:rsid w:val="00483183"/>
    <w:rsid w:val="0048322A"/>
    <w:rsid w:val="00484690"/>
    <w:rsid w:val="0048603C"/>
    <w:rsid w:val="00486829"/>
    <w:rsid w:val="0048695F"/>
    <w:rsid w:val="00487A47"/>
    <w:rsid w:val="00490BA2"/>
    <w:rsid w:val="00490F15"/>
    <w:rsid w:val="00491217"/>
    <w:rsid w:val="00491295"/>
    <w:rsid w:val="0049198B"/>
    <w:rsid w:val="004931A2"/>
    <w:rsid w:val="004946C8"/>
    <w:rsid w:val="0049488A"/>
    <w:rsid w:val="00496C92"/>
    <w:rsid w:val="00496EA3"/>
    <w:rsid w:val="004971EE"/>
    <w:rsid w:val="0049749C"/>
    <w:rsid w:val="00497B3E"/>
    <w:rsid w:val="00497CC6"/>
    <w:rsid w:val="00497CFD"/>
    <w:rsid w:val="004A0DE6"/>
    <w:rsid w:val="004A1608"/>
    <w:rsid w:val="004A1CB3"/>
    <w:rsid w:val="004A1DAE"/>
    <w:rsid w:val="004A295B"/>
    <w:rsid w:val="004A30C8"/>
    <w:rsid w:val="004A3966"/>
    <w:rsid w:val="004A3AF5"/>
    <w:rsid w:val="004A4132"/>
    <w:rsid w:val="004A42CB"/>
    <w:rsid w:val="004A50BF"/>
    <w:rsid w:val="004A515C"/>
    <w:rsid w:val="004A53A2"/>
    <w:rsid w:val="004A587E"/>
    <w:rsid w:val="004A58DD"/>
    <w:rsid w:val="004A5AE9"/>
    <w:rsid w:val="004A73A0"/>
    <w:rsid w:val="004A7DD8"/>
    <w:rsid w:val="004B1A0A"/>
    <w:rsid w:val="004B34D4"/>
    <w:rsid w:val="004B3D47"/>
    <w:rsid w:val="004B4836"/>
    <w:rsid w:val="004B5AB3"/>
    <w:rsid w:val="004B5BB2"/>
    <w:rsid w:val="004B5D42"/>
    <w:rsid w:val="004B5FE4"/>
    <w:rsid w:val="004B7CEA"/>
    <w:rsid w:val="004C13DD"/>
    <w:rsid w:val="004C1BB9"/>
    <w:rsid w:val="004C2043"/>
    <w:rsid w:val="004C26DD"/>
    <w:rsid w:val="004C2F46"/>
    <w:rsid w:val="004C326F"/>
    <w:rsid w:val="004C32A9"/>
    <w:rsid w:val="004C34AD"/>
    <w:rsid w:val="004C3CDF"/>
    <w:rsid w:val="004C50EC"/>
    <w:rsid w:val="004C5426"/>
    <w:rsid w:val="004C5A5E"/>
    <w:rsid w:val="004C62AA"/>
    <w:rsid w:val="004C6F53"/>
    <w:rsid w:val="004C6FAC"/>
    <w:rsid w:val="004D0012"/>
    <w:rsid w:val="004D1271"/>
    <w:rsid w:val="004D1365"/>
    <w:rsid w:val="004D1BFF"/>
    <w:rsid w:val="004D2164"/>
    <w:rsid w:val="004D21E6"/>
    <w:rsid w:val="004D2B64"/>
    <w:rsid w:val="004D2CD2"/>
    <w:rsid w:val="004D343F"/>
    <w:rsid w:val="004D3B2C"/>
    <w:rsid w:val="004D3C4F"/>
    <w:rsid w:val="004D3D6F"/>
    <w:rsid w:val="004D4227"/>
    <w:rsid w:val="004D505B"/>
    <w:rsid w:val="004D5628"/>
    <w:rsid w:val="004D5AB4"/>
    <w:rsid w:val="004D68E8"/>
    <w:rsid w:val="004D6921"/>
    <w:rsid w:val="004D693F"/>
    <w:rsid w:val="004D7413"/>
    <w:rsid w:val="004D7711"/>
    <w:rsid w:val="004E0D5C"/>
    <w:rsid w:val="004E0E1F"/>
    <w:rsid w:val="004E1070"/>
    <w:rsid w:val="004E240A"/>
    <w:rsid w:val="004E2795"/>
    <w:rsid w:val="004E2C54"/>
    <w:rsid w:val="004E3542"/>
    <w:rsid w:val="004E4EF5"/>
    <w:rsid w:val="004E62B0"/>
    <w:rsid w:val="004E78C4"/>
    <w:rsid w:val="004E7A05"/>
    <w:rsid w:val="004F02A0"/>
    <w:rsid w:val="004F0AA8"/>
    <w:rsid w:val="004F0D20"/>
    <w:rsid w:val="004F1158"/>
    <w:rsid w:val="004F1541"/>
    <w:rsid w:val="004F4368"/>
    <w:rsid w:val="004F47FE"/>
    <w:rsid w:val="004F4811"/>
    <w:rsid w:val="004F4F12"/>
    <w:rsid w:val="004F5057"/>
    <w:rsid w:val="004F5489"/>
    <w:rsid w:val="004F64FF"/>
    <w:rsid w:val="004F6517"/>
    <w:rsid w:val="004F65A0"/>
    <w:rsid w:val="004F674A"/>
    <w:rsid w:val="004F6C2F"/>
    <w:rsid w:val="004F7960"/>
    <w:rsid w:val="005005EA"/>
    <w:rsid w:val="005006EB"/>
    <w:rsid w:val="00500A40"/>
    <w:rsid w:val="00501362"/>
    <w:rsid w:val="00501625"/>
    <w:rsid w:val="0050174B"/>
    <w:rsid w:val="00501870"/>
    <w:rsid w:val="00501B3B"/>
    <w:rsid w:val="00502282"/>
    <w:rsid w:val="005026F6"/>
    <w:rsid w:val="00502A60"/>
    <w:rsid w:val="00503617"/>
    <w:rsid w:val="005040B4"/>
    <w:rsid w:val="00505914"/>
    <w:rsid w:val="00505D2A"/>
    <w:rsid w:val="00505DDF"/>
    <w:rsid w:val="00506628"/>
    <w:rsid w:val="00506B01"/>
    <w:rsid w:val="0050708E"/>
    <w:rsid w:val="00507383"/>
    <w:rsid w:val="005076C6"/>
    <w:rsid w:val="00507F53"/>
    <w:rsid w:val="00510101"/>
    <w:rsid w:val="00510864"/>
    <w:rsid w:val="00510A5B"/>
    <w:rsid w:val="00510E72"/>
    <w:rsid w:val="005113E8"/>
    <w:rsid w:val="0051222D"/>
    <w:rsid w:val="005143F4"/>
    <w:rsid w:val="005143F5"/>
    <w:rsid w:val="00514813"/>
    <w:rsid w:val="00514A56"/>
    <w:rsid w:val="00514E31"/>
    <w:rsid w:val="00514FF0"/>
    <w:rsid w:val="005150E4"/>
    <w:rsid w:val="00515332"/>
    <w:rsid w:val="00515D89"/>
    <w:rsid w:val="00515FB2"/>
    <w:rsid w:val="00516687"/>
    <w:rsid w:val="0051747C"/>
    <w:rsid w:val="00517C6C"/>
    <w:rsid w:val="005200B8"/>
    <w:rsid w:val="005205EF"/>
    <w:rsid w:val="005208C5"/>
    <w:rsid w:val="005210DD"/>
    <w:rsid w:val="00521AF2"/>
    <w:rsid w:val="00521C72"/>
    <w:rsid w:val="005226D3"/>
    <w:rsid w:val="005226FF"/>
    <w:rsid w:val="00522946"/>
    <w:rsid w:val="00522D86"/>
    <w:rsid w:val="00522E09"/>
    <w:rsid w:val="005232D2"/>
    <w:rsid w:val="00523A1F"/>
    <w:rsid w:val="00524B77"/>
    <w:rsid w:val="00525022"/>
    <w:rsid w:val="0052514D"/>
    <w:rsid w:val="00525325"/>
    <w:rsid w:val="00526418"/>
    <w:rsid w:val="0052650C"/>
    <w:rsid w:val="00526739"/>
    <w:rsid w:val="005267D7"/>
    <w:rsid w:val="00527568"/>
    <w:rsid w:val="005277C2"/>
    <w:rsid w:val="005301AA"/>
    <w:rsid w:val="00530BF7"/>
    <w:rsid w:val="00532258"/>
    <w:rsid w:val="00532313"/>
    <w:rsid w:val="0053236D"/>
    <w:rsid w:val="005323AC"/>
    <w:rsid w:val="00532C7D"/>
    <w:rsid w:val="00533C8D"/>
    <w:rsid w:val="00534B64"/>
    <w:rsid w:val="00534E3C"/>
    <w:rsid w:val="00534F34"/>
    <w:rsid w:val="0053519E"/>
    <w:rsid w:val="00535BC8"/>
    <w:rsid w:val="00536697"/>
    <w:rsid w:val="00536882"/>
    <w:rsid w:val="00536D42"/>
    <w:rsid w:val="00536E09"/>
    <w:rsid w:val="00536E93"/>
    <w:rsid w:val="005372B3"/>
    <w:rsid w:val="00537A08"/>
    <w:rsid w:val="00537D56"/>
    <w:rsid w:val="00540291"/>
    <w:rsid w:val="00540661"/>
    <w:rsid w:val="00540E4D"/>
    <w:rsid w:val="005418A0"/>
    <w:rsid w:val="00541BFA"/>
    <w:rsid w:val="00542944"/>
    <w:rsid w:val="00542EE6"/>
    <w:rsid w:val="005432D7"/>
    <w:rsid w:val="00543406"/>
    <w:rsid w:val="00543830"/>
    <w:rsid w:val="00543DEF"/>
    <w:rsid w:val="00543EE6"/>
    <w:rsid w:val="00544548"/>
    <w:rsid w:val="005466A9"/>
    <w:rsid w:val="00547942"/>
    <w:rsid w:val="00550893"/>
    <w:rsid w:val="00550F36"/>
    <w:rsid w:val="00550F69"/>
    <w:rsid w:val="00551392"/>
    <w:rsid w:val="005514DA"/>
    <w:rsid w:val="00551A25"/>
    <w:rsid w:val="00552A03"/>
    <w:rsid w:val="0055357B"/>
    <w:rsid w:val="00553B1A"/>
    <w:rsid w:val="00554297"/>
    <w:rsid w:val="005548C1"/>
    <w:rsid w:val="00555546"/>
    <w:rsid w:val="00556472"/>
    <w:rsid w:val="005573F4"/>
    <w:rsid w:val="005576EE"/>
    <w:rsid w:val="0055778B"/>
    <w:rsid w:val="005579DC"/>
    <w:rsid w:val="00557BD9"/>
    <w:rsid w:val="00560491"/>
    <w:rsid w:val="0056054A"/>
    <w:rsid w:val="005613E0"/>
    <w:rsid w:val="0056160B"/>
    <w:rsid w:val="005620A4"/>
    <w:rsid w:val="00562B72"/>
    <w:rsid w:val="00562DD3"/>
    <w:rsid w:val="005640EA"/>
    <w:rsid w:val="00564172"/>
    <w:rsid w:val="0056495E"/>
    <w:rsid w:val="00564F73"/>
    <w:rsid w:val="0056508F"/>
    <w:rsid w:val="00565402"/>
    <w:rsid w:val="0056581C"/>
    <w:rsid w:val="005660F6"/>
    <w:rsid w:val="00566314"/>
    <w:rsid w:val="005679FA"/>
    <w:rsid w:val="005714A8"/>
    <w:rsid w:val="005716C1"/>
    <w:rsid w:val="00571FA0"/>
    <w:rsid w:val="00574549"/>
    <w:rsid w:val="00574DF7"/>
    <w:rsid w:val="00575CAD"/>
    <w:rsid w:val="0057629D"/>
    <w:rsid w:val="00577F81"/>
    <w:rsid w:val="00580DBC"/>
    <w:rsid w:val="00581AA7"/>
    <w:rsid w:val="00583327"/>
    <w:rsid w:val="00583D68"/>
    <w:rsid w:val="00584240"/>
    <w:rsid w:val="00584A51"/>
    <w:rsid w:val="00584A9F"/>
    <w:rsid w:val="00584D8F"/>
    <w:rsid w:val="00585824"/>
    <w:rsid w:val="005862F7"/>
    <w:rsid w:val="00586304"/>
    <w:rsid w:val="005864A7"/>
    <w:rsid w:val="00586B8D"/>
    <w:rsid w:val="00587C36"/>
    <w:rsid w:val="005904C6"/>
    <w:rsid w:val="00590755"/>
    <w:rsid w:val="00590B0D"/>
    <w:rsid w:val="00591529"/>
    <w:rsid w:val="00591FC5"/>
    <w:rsid w:val="0059279E"/>
    <w:rsid w:val="00593957"/>
    <w:rsid w:val="00594F8B"/>
    <w:rsid w:val="00597F06"/>
    <w:rsid w:val="005A0BB2"/>
    <w:rsid w:val="005A2631"/>
    <w:rsid w:val="005A27D3"/>
    <w:rsid w:val="005A2987"/>
    <w:rsid w:val="005A2C85"/>
    <w:rsid w:val="005A2F26"/>
    <w:rsid w:val="005A50F4"/>
    <w:rsid w:val="005A57F7"/>
    <w:rsid w:val="005A6855"/>
    <w:rsid w:val="005A6A82"/>
    <w:rsid w:val="005A7156"/>
    <w:rsid w:val="005A7E2A"/>
    <w:rsid w:val="005B08C4"/>
    <w:rsid w:val="005B2FE4"/>
    <w:rsid w:val="005B33B9"/>
    <w:rsid w:val="005B3F9F"/>
    <w:rsid w:val="005B41A5"/>
    <w:rsid w:val="005B5E6E"/>
    <w:rsid w:val="005B5F1A"/>
    <w:rsid w:val="005B684C"/>
    <w:rsid w:val="005B6B31"/>
    <w:rsid w:val="005B732E"/>
    <w:rsid w:val="005C0381"/>
    <w:rsid w:val="005C055D"/>
    <w:rsid w:val="005C0570"/>
    <w:rsid w:val="005C0E30"/>
    <w:rsid w:val="005C0EC2"/>
    <w:rsid w:val="005C1158"/>
    <w:rsid w:val="005C1D08"/>
    <w:rsid w:val="005C4AF1"/>
    <w:rsid w:val="005C4F28"/>
    <w:rsid w:val="005C64C9"/>
    <w:rsid w:val="005C6560"/>
    <w:rsid w:val="005C67AC"/>
    <w:rsid w:val="005C6BD8"/>
    <w:rsid w:val="005D0E0E"/>
    <w:rsid w:val="005D0F72"/>
    <w:rsid w:val="005D103E"/>
    <w:rsid w:val="005D1BB0"/>
    <w:rsid w:val="005D3056"/>
    <w:rsid w:val="005D313D"/>
    <w:rsid w:val="005D33A3"/>
    <w:rsid w:val="005D38E4"/>
    <w:rsid w:val="005D3944"/>
    <w:rsid w:val="005D4466"/>
    <w:rsid w:val="005D4C8A"/>
    <w:rsid w:val="005D5683"/>
    <w:rsid w:val="005D5859"/>
    <w:rsid w:val="005D601F"/>
    <w:rsid w:val="005D650E"/>
    <w:rsid w:val="005D7416"/>
    <w:rsid w:val="005D79A7"/>
    <w:rsid w:val="005E01B0"/>
    <w:rsid w:val="005E02EB"/>
    <w:rsid w:val="005E064C"/>
    <w:rsid w:val="005E0EC1"/>
    <w:rsid w:val="005E14C8"/>
    <w:rsid w:val="005E1686"/>
    <w:rsid w:val="005E1A47"/>
    <w:rsid w:val="005E21EC"/>
    <w:rsid w:val="005E2289"/>
    <w:rsid w:val="005E26C2"/>
    <w:rsid w:val="005E317F"/>
    <w:rsid w:val="005E3971"/>
    <w:rsid w:val="005E3EA6"/>
    <w:rsid w:val="005E4B1B"/>
    <w:rsid w:val="005E4B4C"/>
    <w:rsid w:val="005E4D82"/>
    <w:rsid w:val="005E5059"/>
    <w:rsid w:val="005E58F3"/>
    <w:rsid w:val="005E592E"/>
    <w:rsid w:val="005E5958"/>
    <w:rsid w:val="005E624E"/>
    <w:rsid w:val="005E6484"/>
    <w:rsid w:val="005E7D08"/>
    <w:rsid w:val="005F0979"/>
    <w:rsid w:val="005F0A5D"/>
    <w:rsid w:val="005F11FC"/>
    <w:rsid w:val="005F2895"/>
    <w:rsid w:val="005F2FF5"/>
    <w:rsid w:val="005F3459"/>
    <w:rsid w:val="005F36E7"/>
    <w:rsid w:val="005F38B9"/>
    <w:rsid w:val="005F47CA"/>
    <w:rsid w:val="005F64EC"/>
    <w:rsid w:val="005F6BF7"/>
    <w:rsid w:val="00600003"/>
    <w:rsid w:val="0060049E"/>
    <w:rsid w:val="006009ED"/>
    <w:rsid w:val="00601268"/>
    <w:rsid w:val="00601529"/>
    <w:rsid w:val="006018B2"/>
    <w:rsid w:val="00601902"/>
    <w:rsid w:val="0060228A"/>
    <w:rsid w:val="0060266A"/>
    <w:rsid w:val="00602D89"/>
    <w:rsid w:val="00603597"/>
    <w:rsid w:val="006039E1"/>
    <w:rsid w:val="00603AAC"/>
    <w:rsid w:val="00603C67"/>
    <w:rsid w:val="00604146"/>
    <w:rsid w:val="0060438E"/>
    <w:rsid w:val="00605430"/>
    <w:rsid w:val="0060573F"/>
    <w:rsid w:val="00605904"/>
    <w:rsid w:val="0060627F"/>
    <w:rsid w:val="00606933"/>
    <w:rsid w:val="00606973"/>
    <w:rsid w:val="00607644"/>
    <w:rsid w:val="006079B3"/>
    <w:rsid w:val="00607E30"/>
    <w:rsid w:val="00610732"/>
    <w:rsid w:val="00610F18"/>
    <w:rsid w:val="006110A2"/>
    <w:rsid w:val="00611477"/>
    <w:rsid w:val="00611794"/>
    <w:rsid w:val="006117F6"/>
    <w:rsid w:val="00611C86"/>
    <w:rsid w:val="00611F5A"/>
    <w:rsid w:val="00612495"/>
    <w:rsid w:val="0061293B"/>
    <w:rsid w:val="00613331"/>
    <w:rsid w:val="00614D9B"/>
    <w:rsid w:val="006158E5"/>
    <w:rsid w:val="00615BF7"/>
    <w:rsid w:val="00617592"/>
    <w:rsid w:val="00617CB2"/>
    <w:rsid w:val="006217BC"/>
    <w:rsid w:val="00621AE5"/>
    <w:rsid w:val="0062276E"/>
    <w:rsid w:val="00623551"/>
    <w:rsid w:val="0062618A"/>
    <w:rsid w:val="00627177"/>
    <w:rsid w:val="00630EE8"/>
    <w:rsid w:val="00632402"/>
    <w:rsid w:val="0063269D"/>
    <w:rsid w:val="00633555"/>
    <w:rsid w:val="00633F56"/>
    <w:rsid w:val="00634DCA"/>
    <w:rsid w:val="00635615"/>
    <w:rsid w:val="00635F8E"/>
    <w:rsid w:val="00640F58"/>
    <w:rsid w:val="006410D5"/>
    <w:rsid w:val="00641262"/>
    <w:rsid w:val="006417D4"/>
    <w:rsid w:val="00641CC1"/>
    <w:rsid w:val="0064235F"/>
    <w:rsid w:val="006425E8"/>
    <w:rsid w:val="0064309D"/>
    <w:rsid w:val="00643419"/>
    <w:rsid w:val="00643A89"/>
    <w:rsid w:val="00644253"/>
    <w:rsid w:val="00644402"/>
    <w:rsid w:val="00645C76"/>
    <w:rsid w:val="00645D86"/>
    <w:rsid w:val="0064639F"/>
    <w:rsid w:val="00646DA1"/>
    <w:rsid w:val="006507C8"/>
    <w:rsid w:val="00650EA4"/>
    <w:rsid w:val="00650F16"/>
    <w:rsid w:val="00651405"/>
    <w:rsid w:val="00651A42"/>
    <w:rsid w:val="00652B3C"/>
    <w:rsid w:val="00653581"/>
    <w:rsid w:val="006536B0"/>
    <w:rsid w:val="00654CBC"/>
    <w:rsid w:val="006554BB"/>
    <w:rsid w:val="00655EE7"/>
    <w:rsid w:val="006567CD"/>
    <w:rsid w:val="00657063"/>
    <w:rsid w:val="0066089E"/>
    <w:rsid w:val="00660B8E"/>
    <w:rsid w:val="00660C11"/>
    <w:rsid w:val="00660C4C"/>
    <w:rsid w:val="00661FA4"/>
    <w:rsid w:val="00662BB4"/>
    <w:rsid w:val="00662D71"/>
    <w:rsid w:val="00663BB1"/>
    <w:rsid w:val="00663BD7"/>
    <w:rsid w:val="006642C1"/>
    <w:rsid w:val="0066486A"/>
    <w:rsid w:val="00664D9D"/>
    <w:rsid w:val="00665BFC"/>
    <w:rsid w:val="00666568"/>
    <w:rsid w:val="00666612"/>
    <w:rsid w:val="0066775B"/>
    <w:rsid w:val="00667E4E"/>
    <w:rsid w:val="00670048"/>
    <w:rsid w:val="006700AA"/>
    <w:rsid w:val="006703CC"/>
    <w:rsid w:val="00670613"/>
    <w:rsid w:val="00670F7B"/>
    <w:rsid w:val="00671CE9"/>
    <w:rsid w:val="006746E7"/>
    <w:rsid w:val="00676915"/>
    <w:rsid w:val="0067693E"/>
    <w:rsid w:val="00677335"/>
    <w:rsid w:val="00677BAF"/>
    <w:rsid w:val="006802B4"/>
    <w:rsid w:val="00680325"/>
    <w:rsid w:val="006803D9"/>
    <w:rsid w:val="00680545"/>
    <w:rsid w:val="00680D80"/>
    <w:rsid w:val="00681CC9"/>
    <w:rsid w:val="00681FB9"/>
    <w:rsid w:val="0068214C"/>
    <w:rsid w:val="006822DF"/>
    <w:rsid w:val="00682B1D"/>
    <w:rsid w:val="00682B26"/>
    <w:rsid w:val="006843E7"/>
    <w:rsid w:val="00684625"/>
    <w:rsid w:val="00684F7C"/>
    <w:rsid w:val="00685387"/>
    <w:rsid w:val="00686718"/>
    <w:rsid w:val="006878AC"/>
    <w:rsid w:val="00687ECF"/>
    <w:rsid w:val="006908A7"/>
    <w:rsid w:val="006910E5"/>
    <w:rsid w:val="00691D4B"/>
    <w:rsid w:val="00692431"/>
    <w:rsid w:val="00692680"/>
    <w:rsid w:val="0069282B"/>
    <w:rsid w:val="006929A6"/>
    <w:rsid w:val="00692B04"/>
    <w:rsid w:val="00692DAA"/>
    <w:rsid w:val="00693DD6"/>
    <w:rsid w:val="00693E8B"/>
    <w:rsid w:val="0069408F"/>
    <w:rsid w:val="006940C5"/>
    <w:rsid w:val="00694A99"/>
    <w:rsid w:val="00695191"/>
    <w:rsid w:val="0069561F"/>
    <w:rsid w:val="0069573B"/>
    <w:rsid w:val="00696473"/>
    <w:rsid w:val="00696513"/>
    <w:rsid w:val="0069699F"/>
    <w:rsid w:val="00696C5E"/>
    <w:rsid w:val="00696F77"/>
    <w:rsid w:val="006970BF"/>
    <w:rsid w:val="006A1625"/>
    <w:rsid w:val="006A1F0B"/>
    <w:rsid w:val="006A2C8A"/>
    <w:rsid w:val="006A3333"/>
    <w:rsid w:val="006A3490"/>
    <w:rsid w:val="006A3AE4"/>
    <w:rsid w:val="006A3D5F"/>
    <w:rsid w:val="006A4109"/>
    <w:rsid w:val="006A4945"/>
    <w:rsid w:val="006A49C2"/>
    <w:rsid w:val="006A4E16"/>
    <w:rsid w:val="006A5452"/>
    <w:rsid w:val="006A5C13"/>
    <w:rsid w:val="006A5C60"/>
    <w:rsid w:val="006A5D71"/>
    <w:rsid w:val="006A601B"/>
    <w:rsid w:val="006A636E"/>
    <w:rsid w:val="006A6EB8"/>
    <w:rsid w:val="006A7D67"/>
    <w:rsid w:val="006A7E73"/>
    <w:rsid w:val="006B0994"/>
    <w:rsid w:val="006B0C57"/>
    <w:rsid w:val="006B0D2E"/>
    <w:rsid w:val="006B132C"/>
    <w:rsid w:val="006B40F3"/>
    <w:rsid w:val="006B4774"/>
    <w:rsid w:val="006B493B"/>
    <w:rsid w:val="006B5CEC"/>
    <w:rsid w:val="006B6DC2"/>
    <w:rsid w:val="006B73A7"/>
    <w:rsid w:val="006B7580"/>
    <w:rsid w:val="006B7B98"/>
    <w:rsid w:val="006B7FB8"/>
    <w:rsid w:val="006C047E"/>
    <w:rsid w:val="006C056A"/>
    <w:rsid w:val="006C0836"/>
    <w:rsid w:val="006C2110"/>
    <w:rsid w:val="006C3DB6"/>
    <w:rsid w:val="006C4779"/>
    <w:rsid w:val="006C4A9E"/>
    <w:rsid w:val="006C5088"/>
    <w:rsid w:val="006C67AF"/>
    <w:rsid w:val="006C7365"/>
    <w:rsid w:val="006C75A6"/>
    <w:rsid w:val="006C79BD"/>
    <w:rsid w:val="006C7C70"/>
    <w:rsid w:val="006D0228"/>
    <w:rsid w:val="006D12C6"/>
    <w:rsid w:val="006D1553"/>
    <w:rsid w:val="006D1C6E"/>
    <w:rsid w:val="006D1D30"/>
    <w:rsid w:val="006D2A8E"/>
    <w:rsid w:val="006D2BC2"/>
    <w:rsid w:val="006D389E"/>
    <w:rsid w:val="006D5746"/>
    <w:rsid w:val="006D662C"/>
    <w:rsid w:val="006D6647"/>
    <w:rsid w:val="006D6F16"/>
    <w:rsid w:val="006D770C"/>
    <w:rsid w:val="006E00BF"/>
    <w:rsid w:val="006E01EC"/>
    <w:rsid w:val="006E05AD"/>
    <w:rsid w:val="006E07B4"/>
    <w:rsid w:val="006E225C"/>
    <w:rsid w:val="006E241D"/>
    <w:rsid w:val="006E3489"/>
    <w:rsid w:val="006E34B4"/>
    <w:rsid w:val="006E3BAF"/>
    <w:rsid w:val="006E4DC6"/>
    <w:rsid w:val="006E6C04"/>
    <w:rsid w:val="006E755C"/>
    <w:rsid w:val="006E7608"/>
    <w:rsid w:val="006F0850"/>
    <w:rsid w:val="006F08F4"/>
    <w:rsid w:val="006F1573"/>
    <w:rsid w:val="006F195A"/>
    <w:rsid w:val="006F1BB1"/>
    <w:rsid w:val="006F1D81"/>
    <w:rsid w:val="006F3AB4"/>
    <w:rsid w:val="006F3B85"/>
    <w:rsid w:val="006F40E2"/>
    <w:rsid w:val="006F430D"/>
    <w:rsid w:val="006F444C"/>
    <w:rsid w:val="006F464A"/>
    <w:rsid w:val="006F46EE"/>
    <w:rsid w:val="006F5071"/>
    <w:rsid w:val="006F543C"/>
    <w:rsid w:val="006F5778"/>
    <w:rsid w:val="006F5F1E"/>
    <w:rsid w:val="006F5FAF"/>
    <w:rsid w:val="006F5FE3"/>
    <w:rsid w:val="006F63D0"/>
    <w:rsid w:val="006F63E8"/>
    <w:rsid w:val="006F77FF"/>
    <w:rsid w:val="006F7BAF"/>
    <w:rsid w:val="00700321"/>
    <w:rsid w:val="0070231B"/>
    <w:rsid w:val="0070231E"/>
    <w:rsid w:val="00702980"/>
    <w:rsid w:val="007037C7"/>
    <w:rsid w:val="00704480"/>
    <w:rsid w:val="0070582F"/>
    <w:rsid w:val="0070609E"/>
    <w:rsid w:val="00707CB9"/>
    <w:rsid w:val="00707E16"/>
    <w:rsid w:val="00711163"/>
    <w:rsid w:val="00711241"/>
    <w:rsid w:val="00711772"/>
    <w:rsid w:val="00711CE0"/>
    <w:rsid w:val="0071220A"/>
    <w:rsid w:val="00713CC4"/>
    <w:rsid w:val="00713EA7"/>
    <w:rsid w:val="0071504D"/>
    <w:rsid w:val="00716030"/>
    <w:rsid w:val="007166AE"/>
    <w:rsid w:val="00717EAD"/>
    <w:rsid w:val="0072033C"/>
    <w:rsid w:val="00720E51"/>
    <w:rsid w:val="007219A7"/>
    <w:rsid w:val="007219D4"/>
    <w:rsid w:val="00722E86"/>
    <w:rsid w:val="0072340F"/>
    <w:rsid w:val="007238E7"/>
    <w:rsid w:val="00723D1A"/>
    <w:rsid w:val="007241BA"/>
    <w:rsid w:val="00724526"/>
    <w:rsid w:val="00724576"/>
    <w:rsid w:val="007251F8"/>
    <w:rsid w:val="00725C81"/>
    <w:rsid w:val="00726644"/>
    <w:rsid w:val="00726A5C"/>
    <w:rsid w:val="00727538"/>
    <w:rsid w:val="007303CA"/>
    <w:rsid w:val="0073150D"/>
    <w:rsid w:val="00731CBD"/>
    <w:rsid w:val="007335FF"/>
    <w:rsid w:val="0073467F"/>
    <w:rsid w:val="00735561"/>
    <w:rsid w:val="00735647"/>
    <w:rsid w:val="00735B36"/>
    <w:rsid w:val="00737094"/>
    <w:rsid w:val="00737AF5"/>
    <w:rsid w:val="00737E80"/>
    <w:rsid w:val="00740E83"/>
    <w:rsid w:val="007415DB"/>
    <w:rsid w:val="00741CCE"/>
    <w:rsid w:val="00741D19"/>
    <w:rsid w:val="00742A04"/>
    <w:rsid w:val="00742F56"/>
    <w:rsid w:val="00743AC6"/>
    <w:rsid w:val="00744E01"/>
    <w:rsid w:val="00744F43"/>
    <w:rsid w:val="007453C9"/>
    <w:rsid w:val="007456FE"/>
    <w:rsid w:val="00746167"/>
    <w:rsid w:val="007470C5"/>
    <w:rsid w:val="007470EE"/>
    <w:rsid w:val="00747441"/>
    <w:rsid w:val="00750166"/>
    <w:rsid w:val="00750503"/>
    <w:rsid w:val="007511F0"/>
    <w:rsid w:val="0075127A"/>
    <w:rsid w:val="00751CFE"/>
    <w:rsid w:val="00754459"/>
    <w:rsid w:val="0075476E"/>
    <w:rsid w:val="007549A5"/>
    <w:rsid w:val="0075507E"/>
    <w:rsid w:val="0075561C"/>
    <w:rsid w:val="007560BB"/>
    <w:rsid w:val="00756684"/>
    <w:rsid w:val="00756D90"/>
    <w:rsid w:val="007603CD"/>
    <w:rsid w:val="0076082A"/>
    <w:rsid w:val="0076125A"/>
    <w:rsid w:val="007618F2"/>
    <w:rsid w:val="00763532"/>
    <w:rsid w:val="0076374B"/>
    <w:rsid w:val="00763A27"/>
    <w:rsid w:val="00763BC3"/>
    <w:rsid w:val="00764558"/>
    <w:rsid w:val="00764F28"/>
    <w:rsid w:val="00765913"/>
    <w:rsid w:val="00767115"/>
    <w:rsid w:val="0077030B"/>
    <w:rsid w:val="0077069C"/>
    <w:rsid w:val="00770F98"/>
    <w:rsid w:val="00771150"/>
    <w:rsid w:val="00771577"/>
    <w:rsid w:val="00771A48"/>
    <w:rsid w:val="00771D65"/>
    <w:rsid w:val="00772073"/>
    <w:rsid w:val="00772422"/>
    <w:rsid w:val="00774233"/>
    <w:rsid w:val="00775274"/>
    <w:rsid w:val="00776C01"/>
    <w:rsid w:val="00776D14"/>
    <w:rsid w:val="0077708D"/>
    <w:rsid w:val="007772AE"/>
    <w:rsid w:val="007800F9"/>
    <w:rsid w:val="00780346"/>
    <w:rsid w:val="00783C23"/>
    <w:rsid w:val="00783FD1"/>
    <w:rsid w:val="00783FE4"/>
    <w:rsid w:val="0078467F"/>
    <w:rsid w:val="00784CBA"/>
    <w:rsid w:val="007855E8"/>
    <w:rsid w:val="00785AC2"/>
    <w:rsid w:val="00785D63"/>
    <w:rsid w:val="00786B7A"/>
    <w:rsid w:val="00786BDD"/>
    <w:rsid w:val="007873B2"/>
    <w:rsid w:val="00787802"/>
    <w:rsid w:val="0079007A"/>
    <w:rsid w:val="00790261"/>
    <w:rsid w:val="0079044E"/>
    <w:rsid w:val="00790788"/>
    <w:rsid w:val="007908F0"/>
    <w:rsid w:val="00790CDA"/>
    <w:rsid w:val="0079182F"/>
    <w:rsid w:val="0079184A"/>
    <w:rsid w:val="00791AA5"/>
    <w:rsid w:val="00791C88"/>
    <w:rsid w:val="007921F7"/>
    <w:rsid w:val="007928DC"/>
    <w:rsid w:val="00792BC8"/>
    <w:rsid w:val="00793CB7"/>
    <w:rsid w:val="00794EF1"/>
    <w:rsid w:val="0079562A"/>
    <w:rsid w:val="00795F6B"/>
    <w:rsid w:val="00796411"/>
    <w:rsid w:val="00796641"/>
    <w:rsid w:val="00796BB3"/>
    <w:rsid w:val="00796CB0"/>
    <w:rsid w:val="00797B98"/>
    <w:rsid w:val="00797E5F"/>
    <w:rsid w:val="007A0746"/>
    <w:rsid w:val="007A0B1C"/>
    <w:rsid w:val="007A0CC6"/>
    <w:rsid w:val="007A2156"/>
    <w:rsid w:val="007A28AF"/>
    <w:rsid w:val="007A2D25"/>
    <w:rsid w:val="007A49B1"/>
    <w:rsid w:val="007A5515"/>
    <w:rsid w:val="007A6756"/>
    <w:rsid w:val="007A6C61"/>
    <w:rsid w:val="007A6F67"/>
    <w:rsid w:val="007A6FB1"/>
    <w:rsid w:val="007A7CF8"/>
    <w:rsid w:val="007B083D"/>
    <w:rsid w:val="007B1ACE"/>
    <w:rsid w:val="007B258B"/>
    <w:rsid w:val="007B3BC5"/>
    <w:rsid w:val="007B3DF9"/>
    <w:rsid w:val="007B43E4"/>
    <w:rsid w:val="007B49F1"/>
    <w:rsid w:val="007B4C00"/>
    <w:rsid w:val="007B4F8F"/>
    <w:rsid w:val="007B51C9"/>
    <w:rsid w:val="007B56AD"/>
    <w:rsid w:val="007B5941"/>
    <w:rsid w:val="007B5D4A"/>
    <w:rsid w:val="007B6235"/>
    <w:rsid w:val="007B6415"/>
    <w:rsid w:val="007B707D"/>
    <w:rsid w:val="007C03F2"/>
    <w:rsid w:val="007C12E7"/>
    <w:rsid w:val="007C1457"/>
    <w:rsid w:val="007C2BA7"/>
    <w:rsid w:val="007C2E97"/>
    <w:rsid w:val="007C3186"/>
    <w:rsid w:val="007C4718"/>
    <w:rsid w:val="007C51DB"/>
    <w:rsid w:val="007C53E1"/>
    <w:rsid w:val="007C5881"/>
    <w:rsid w:val="007C61A8"/>
    <w:rsid w:val="007C6436"/>
    <w:rsid w:val="007C6BED"/>
    <w:rsid w:val="007C7FDE"/>
    <w:rsid w:val="007D0A31"/>
    <w:rsid w:val="007D1355"/>
    <w:rsid w:val="007D165C"/>
    <w:rsid w:val="007D19D4"/>
    <w:rsid w:val="007D1D6C"/>
    <w:rsid w:val="007D2276"/>
    <w:rsid w:val="007D2423"/>
    <w:rsid w:val="007D299F"/>
    <w:rsid w:val="007D3B42"/>
    <w:rsid w:val="007D478F"/>
    <w:rsid w:val="007D4800"/>
    <w:rsid w:val="007D4E12"/>
    <w:rsid w:val="007D5F7F"/>
    <w:rsid w:val="007D60C1"/>
    <w:rsid w:val="007D636F"/>
    <w:rsid w:val="007D660E"/>
    <w:rsid w:val="007D669E"/>
    <w:rsid w:val="007E0FA2"/>
    <w:rsid w:val="007E116F"/>
    <w:rsid w:val="007E179B"/>
    <w:rsid w:val="007E20C0"/>
    <w:rsid w:val="007E2D78"/>
    <w:rsid w:val="007E34BE"/>
    <w:rsid w:val="007E3E6D"/>
    <w:rsid w:val="007E3EF4"/>
    <w:rsid w:val="007E4BA1"/>
    <w:rsid w:val="007E4C9D"/>
    <w:rsid w:val="007E4CD4"/>
    <w:rsid w:val="007E5C1C"/>
    <w:rsid w:val="007E60AF"/>
    <w:rsid w:val="007E6484"/>
    <w:rsid w:val="007E6635"/>
    <w:rsid w:val="007E6F70"/>
    <w:rsid w:val="007F1980"/>
    <w:rsid w:val="007F1CD0"/>
    <w:rsid w:val="007F1FC8"/>
    <w:rsid w:val="007F2C80"/>
    <w:rsid w:val="007F2F42"/>
    <w:rsid w:val="007F36CF"/>
    <w:rsid w:val="007F3801"/>
    <w:rsid w:val="007F3EA5"/>
    <w:rsid w:val="007F3F6B"/>
    <w:rsid w:val="007F40A0"/>
    <w:rsid w:val="007F4B7E"/>
    <w:rsid w:val="007F500F"/>
    <w:rsid w:val="007F521C"/>
    <w:rsid w:val="007F5487"/>
    <w:rsid w:val="007F586B"/>
    <w:rsid w:val="007F5CF8"/>
    <w:rsid w:val="007F632F"/>
    <w:rsid w:val="007F7579"/>
    <w:rsid w:val="007F78E4"/>
    <w:rsid w:val="007F7D99"/>
    <w:rsid w:val="008009B3"/>
    <w:rsid w:val="00801BD8"/>
    <w:rsid w:val="00802026"/>
    <w:rsid w:val="00802044"/>
    <w:rsid w:val="008025E6"/>
    <w:rsid w:val="00802BB4"/>
    <w:rsid w:val="00802EFA"/>
    <w:rsid w:val="00803A9B"/>
    <w:rsid w:val="0080412D"/>
    <w:rsid w:val="00804422"/>
    <w:rsid w:val="00804C6A"/>
    <w:rsid w:val="00804F5F"/>
    <w:rsid w:val="0080559B"/>
    <w:rsid w:val="0080578F"/>
    <w:rsid w:val="00805A41"/>
    <w:rsid w:val="00805F66"/>
    <w:rsid w:val="00806F35"/>
    <w:rsid w:val="00810718"/>
    <w:rsid w:val="00811831"/>
    <w:rsid w:val="0081187F"/>
    <w:rsid w:val="00811BAC"/>
    <w:rsid w:val="00811DDD"/>
    <w:rsid w:val="008122B4"/>
    <w:rsid w:val="00812D42"/>
    <w:rsid w:val="00813047"/>
    <w:rsid w:val="00813792"/>
    <w:rsid w:val="008141E8"/>
    <w:rsid w:val="00814518"/>
    <w:rsid w:val="00814F95"/>
    <w:rsid w:val="00815CB4"/>
    <w:rsid w:val="008165B9"/>
    <w:rsid w:val="00817B67"/>
    <w:rsid w:val="00817D2E"/>
    <w:rsid w:val="00817FAF"/>
    <w:rsid w:val="008204D2"/>
    <w:rsid w:val="00820618"/>
    <w:rsid w:val="0082083B"/>
    <w:rsid w:val="0082087D"/>
    <w:rsid w:val="008210AE"/>
    <w:rsid w:val="0082168C"/>
    <w:rsid w:val="008218EA"/>
    <w:rsid w:val="00821D81"/>
    <w:rsid w:val="00822E80"/>
    <w:rsid w:val="00823344"/>
    <w:rsid w:val="00823356"/>
    <w:rsid w:val="0082354F"/>
    <w:rsid w:val="00823C65"/>
    <w:rsid w:val="00823C79"/>
    <w:rsid w:val="0082430B"/>
    <w:rsid w:val="00825756"/>
    <w:rsid w:val="00826659"/>
    <w:rsid w:val="008269C9"/>
    <w:rsid w:val="00827AA6"/>
    <w:rsid w:val="008303C8"/>
    <w:rsid w:val="00830709"/>
    <w:rsid w:val="00830DA8"/>
    <w:rsid w:val="0083190C"/>
    <w:rsid w:val="00831B64"/>
    <w:rsid w:val="00831C20"/>
    <w:rsid w:val="00831FA9"/>
    <w:rsid w:val="008331A9"/>
    <w:rsid w:val="00833665"/>
    <w:rsid w:val="00834230"/>
    <w:rsid w:val="008355F5"/>
    <w:rsid w:val="00835C14"/>
    <w:rsid w:val="00835F84"/>
    <w:rsid w:val="00836B90"/>
    <w:rsid w:val="0083721B"/>
    <w:rsid w:val="008373D3"/>
    <w:rsid w:val="008374CE"/>
    <w:rsid w:val="0083786F"/>
    <w:rsid w:val="0083799D"/>
    <w:rsid w:val="00837C7C"/>
    <w:rsid w:val="008403A5"/>
    <w:rsid w:val="008409B1"/>
    <w:rsid w:val="008415AC"/>
    <w:rsid w:val="008420A1"/>
    <w:rsid w:val="0084224B"/>
    <w:rsid w:val="0084284D"/>
    <w:rsid w:val="00843293"/>
    <w:rsid w:val="00843BC7"/>
    <w:rsid w:val="00844730"/>
    <w:rsid w:val="00844FEA"/>
    <w:rsid w:val="00845229"/>
    <w:rsid w:val="00845568"/>
    <w:rsid w:val="008455D2"/>
    <w:rsid w:val="0084584E"/>
    <w:rsid w:val="00845A1A"/>
    <w:rsid w:val="0084678E"/>
    <w:rsid w:val="00846B5E"/>
    <w:rsid w:val="00847798"/>
    <w:rsid w:val="00847FB1"/>
    <w:rsid w:val="008509B6"/>
    <w:rsid w:val="00850CA4"/>
    <w:rsid w:val="008511F4"/>
    <w:rsid w:val="00852BB9"/>
    <w:rsid w:val="00852CA8"/>
    <w:rsid w:val="00853756"/>
    <w:rsid w:val="00853D79"/>
    <w:rsid w:val="00854CB6"/>
    <w:rsid w:val="00855519"/>
    <w:rsid w:val="0085577F"/>
    <w:rsid w:val="00855BCC"/>
    <w:rsid w:val="0085757A"/>
    <w:rsid w:val="00857FF8"/>
    <w:rsid w:val="00860BCD"/>
    <w:rsid w:val="0086138D"/>
    <w:rsid w:val="00861F3B"/>
    <w:rsid w:val="00862123"/>
    <w:rsid w:val="00862BCC"/>
    <w:rsid w:val="00863A56"/>
    <w:rsid w:val="00863ABF"/>
    <w:rsid w:val="00864B0D"/>
    <w:rsid w:val="00864B85"/>
    <w:rsid w:val="00865499"/>
    <w:rsid w:val="00865816"/>
    <w:rsid w:val="008661E3"/>
    <w:rsid w:val="00866439"/>
    <w:rsid w:val="00866513"/>
    <w:rsid w:val="00866A44"/>
    <w:rsid w:val="008670B0"/>
    <w:rsid w:val="00867A7C"/>
    <w:rsid w:val="008707B8"/>
    <w:rsid w:val="0087354E"/>
    <w:rsid w:val="008735D5"/>
    <w:rsid w:val="00873726"/>
    <w:rsid w:val="00874586"/>
    <w:rsid w:val="00874706"/>
    <w:rsid w:val="00874D4B"/>
    <w:rsid w:val="008752AC"/>
    <w:rsid w:val="008756BE"/>
    <w:rsid w:val="00875F4F"/>
    <w:rsid w:val="00876E56"/>
    <w:rsid w:val="00877C16"/>
    <w:rsid w:val="008804A7"/>
    <w:rsid w:val="008819EA"/>
    <w:rsid w:val="00883ECB"/>
    <w:rsid w:val="00884693"/>
    <w:rsid w:val="00885473"/>
    <w:rsid w:val="00885FA5"/>
    <w:rsid w:val="008869B2"/>
    <w:rsid w:val="00886D05"/>
    <w:rsid w:val="00887404"/>
    <w:rsid w:val="0088787A"/>
    <w:rsid w:val="008879E0"/>
    <w:rsid w:val="00890C34"/>
    <w:rsid w:val="008911AE"/>
    <w:rsid w:val="008912FB"/>
    <w:rsid w:val="008937E0"/>
    <w:rsid w:val="008944F4"/>
    <w:rsid w:val="0089491B"/>
    <w:rsid w:val="00895182"/>
    <w:rsid w:val="008957E0"/>
    <w:rsid w:val="00895A75"/>
    <w:rsid w:val="00897A88"/>
    <w:rsid w:val="00897E49"/>
    <w:rsid w:val="008A02DE"/>
    <w:rsid w:val="008A0407"/>
    <w:rsid w:val="008A09A0"/>
    <w:rsid w:val="008A1788"/>
    <w:rsid w:val="008A1D41"/>
    <w:rsid w:val="008A21FE"/>
    <w:rsid w:val="008A2E0C"/>
    <w:rsid w:val="008A2EF8"/>
    <w:rsid w:val="008A35F0"/>
    <w:rsid w:val="008A3D01"/>
    <w:rsid w:val="008A3D78"/>
    <w:rsid w:val="008A3F20"/>
    <w:rsid w:val="008A43D4"/>
    <w:rsid w:val="008A44A4"/>
    <w:rsid w:val="008A4895"/>
    <w:rsid w:val="008A4F5A"/>
    <w:rsid w:val="008A53A4"/>
    <w:rsid w:val="008A559C"/>
    <w:rsid w:val="008A59C5"/>
    <w:rsid w:val="008A6B2F"/>
    <w:rsid w:val="008A7B17"/>
    <w:rsid w:val="008B0093"/>
    <w:rsid w:val="008B0154"/>
    <w:rsid w:val="008B1011"/>
    <w:rsid w:val="008B194F"/>
    <w:rsid w:val="008B1F9A"/>
    <w:rsid w:val="008B2E1E"/>
    <w:rsid w:val="008B3016"/>
    <w:rsid w:val="008B36BA"/>
    <w:rsid w:val="008B63F8"/>
    <w:rsid w:val="008B7A3D"/>
    <w:rsid w:val="008C2FB6"/>
    <w:rsid w:val="008C358D"/>
    <w:rsid w:val="008C45D7"/>
    <w:rsid w:val="008C478C"/>
    <w:rsid w:val="008C571B"/>
    <w:rsid w:val="008C5990"/>
    <w:rsid w:val="008C644B"/>
    <w:rsid w:val="008C6705"/>
    <w:rsid w:val="008D0015"/>
    <w:rsid w:val="008D0BC2"/>
    <w:rsid w:val="008D161A"/>
    <w:rsid w:val="008D2923"/>
    <w:rsid w:val="008D3149"/>
    <w:rsid w:val="008D35FB"/>
    <w:rsid w:val="008D3CA8"/>
    <w:rsid w:val="008D3DF5"/>
    <w:rsid w:val="008D4C09"/>
    <w:rsid w:val="008D5B54"/>
    <w:rsid w:val="008D634F"/>
    <w:rsid w:val="008D67EF"/>
    <w:rsid w:val="008D70E0"/>
    <w:rsid w:val="008D72EE"/>
    <w:rsid w:val="008D7362"/>
    <w:rsid w:val="008D7C30"/>
    <w:rsid w:val="008E015C"/>
    <w:rsid w:val="008E036D"/>
    <w:rsid w:val="008E098C"/>
    <w:rsid w:val="008E0B86"/>
    <w:rsid w:val="008E1841"/>
    <w:rsid w:val="008E1A12"/>
    <w:rsid w:val="008E1B8C"/>
    <w:rsid w:val="008E1B9D"/>
    <w:rsid w:val="008E23F1"/>
    <w:rsid w:val="008E25B7"/>
    <w:rsid w:val="008E4923"/>
    <w:rsid w:val="008E49B4"/>
    <w:rsid w:val="008E524C"/>
    <w:rsid w:val="008E6FCA"/>
    <w:rsid w:val="008F0961"/>
    <w:rsid w:val="008F09C6"/>
    <w:rsid w:val="008F2C4A"/>
    <w:rsid w:val="008F37C2"/>
    <w:rsid w:val="008F383D"/>
    <w:rsid w:val="008F6FA8"/>
    <w:rsid w:val="0090007A"/>
    <w:rsid w:val="00900FEE"/>
    <w:rsid w:val="00901020"/>
    <w:rsid w:val="00902B48"/>
    <w:rsid w:val="009032E8"/>
    <w:rsid w:val="00903CBF"/>
    <w:rsid w:val="009049D9"/>
    <w:rsid w:val="009054AD"/>
    <w:rsid w:val="00905797"/>
    <w:rsid w:val="00906CA1"/>
    <w:rsid w:val="00906D3C"/>
    <w:rsid w:val="009071A2"/>
    <w:rsid w:val="009078E5"/>
    <w:rsid w:val="00907950"/>
    <w:rsid w:val="00907A3F"/>
    <w:rsid w:val="00907F4A"/>
    <w:rsid w:val="00910657"/>
    <w:rsid w:val="00911782"/>
    <w:rsid w:val="00911BA4"/>
    <w:rsid w:val="009124B0"/>
    <w:rsid w:val="0091328E"/>
    <w:rsid w:val="0091355D"/>
    <w:rsid w:val="00913832"/>
    <w:rsid w:val="0091383A"/>
    <w:rsid w:val="00913C86"/>
    <w:rsid w:val="0091436C"/>
    <w:rsid w:val="00914D75"/>
    <w:rsid w:val="0091565C"/>
    <w:rsid w:val="00915AFF"/>
    <w:rsid w:val="00916638"/>
    <w:rsid w:val="00917A45"/>
    <w:rsid w:val="00917F97"/>
    <w:rsid w:val="0092006D"/>
    <w:rsid w:val="009206D1"/>
    <w:rsid w:val="00920713"/>
    <w:rsid w:val="00921681"/>
    <w:rsid w:val="009216C0"/>
    <w:rsid w:val="00921CDF"/>
    <w:rsid w:val="0092247A"/>
    <w:rsid w:val="00923090"/>
    <w:rsid w:val="00923CCF"/>
    <w:rsid w:val="0092521D"/>
    <w:rsid w:val="0092531F"/>
    <w:rsid w:val="00925EE5"/>
    <w:rsid w:val="00926B34"/>
    <w:rsid w:val="00926EAB"/>
    <w:rsid w:val="00926F59"/>
    <w:rsid w:val="00927777"/>
    <w:rsid w:val="009278C1"/>
    <w:rsid w:val="00927C4B"/>
    <w:rsid w:val="00930021"/>
    <w:rsid w:val="009302EF"/>
    <w:rsid w:val="009308E2"/>
    <w:rsid w:val="00931141"/>
    <w:rsid w:val="009317BE"/>
    <w:rsid w:val="00931D89"/>
    <w:rsid w:val="00932477"/>
    <w:rsid w:val="00933127"/>
    <w:rsid w:val="00933E2E"/>
    <w:rsid w:val="00935916"/>
    <w:rsid w:val="00935921"/>
    <w:rsid w:val="00936240"/>
    <w:rsid w:val="0093627D"/>
    <w:rsid w:val="00936BDF"/>
    <w:rsid w:val="00936F0B"/>
    <w:rsid w:val="00937DA6"/>
    <w:rsid w:val="009405C8"/>
    <w:rsid w:val="00941256"/>
    <w:rsid w:val="00942281"/>
    <w:rsid w:val="00942632"/>
    <w:rsid w:val="009434AE"/>
    <w:rsid w:val="0094359D"/>
    <w:rsid w:val="00944D7C"/>
    <w:rsid w:val="00946329"/>
    <w:rsid w:val="009469A5"/>
    <w:rsid w:val="00946E2B"/>
    <w:rsid w:val="00946F8B"/>
    <w:rsid w:val="00947255"/>
    <w:rsid w:val="00947DB8"/>
    <w:rsid w:val="00950CEF"/>
    <w:rsid w:val="00950D78"/>
    <w:rsid w:val="009515A4"/>
    <w:rsid w:val="009527A4"/>
    <w:rsid w:val="0095317E"/>
    <w:rsid w:val="00954117"/>
    <w:rsid w:val="00954B8C"/>
    <w:rsid w:val="00954E35"/>
    <w:rsid w:val="00955356"/>
    <w:rsid w:val="00955559"/>
    <w:rsid w:val="009555A5"/>
    <w:rsid w:val="00955969"/>
    <w:rsid w:val="00955A99"/>
    <w:rsid w:val="00955B93"/>
    <w:rsid w:val="00955F0B"/>
    <w:rsid w:val="00956091"/>
    <w:rsid w:val="0095645B"/>
    <w:rsid w:val="0095736D"/>
    <w:rsid w:val="009578AD"/>
    <w:rsid w:val="00957A07"/>
    <w:rsid w:val="009604AD"/>
    <w:rsid w:val="00961651"/>
    <w:rsid w:val="00961F30"/>
    <w:rsid w:val="00961F91"/>
    <w:rsid w:val="00962D64"/>
    <w:rsid w:val="0096360E"/>
    <w:rsid w:val="00963B35"/>
    <w:rsid w:val="00963E62"/>
    <w:rsid w:val="009657E8"/>
    <w:rsid w:val="00965D1A"/>
    <w:rsid w:val="00965DB2"/>
    <w:rsid w:val="009669CC"/>
    <w:rsid w:val="00967A6C"/>
    <w:rsid w:val="00970D82"/>
    <w:rsid w:val="00971030"/>
    <w:rsid w:val="00971CF5"/>
    <w:rsid w:val="0097259F"/>
    <w:rsid w:val="00972BB4"/>
    <w:rsid w:val="009730C7"/>
    <w:rsid w:val="0097313E"/>
    <w:rsid w:val="00973D89"/>
    <w:rsid w:val="0097462A"/>
    <w:rsid w:val="009748F1"/>
    <w:rsid w:val="0097533D"/>
    <w:rsid w:val="00975624"/>
    <w:rsid w:val="00975F83"/>
    <w:rsid w:val="009760E6"/>
    <w:rsid w:val="0097643B"/>
    <w:rsid w:val="009776A5"/>
    <w:rsid w:val="0097779D"/>
    <w:rsid w:val="00977BA8"/>
    <w:rsid w:val="00977F70"/>
    <w:rsid w:val="00981CA3"/>
    <w:rsid w:val="00981E6C"/>
    <w:rsid w:val="009822E3"/>
    <w:rsid w:val="00982507"/>
    <w:rsid w:val="00982519"/>
    <w:rsid w:val="009836CC"/>
    <w:rsid w:val="00983783"/>
    <w:rsid w:val="00984A4C"/>
    <w:rsid w:val="00985681"/>
    <w:rsid w:val="009856B6"/>
    <w:rsid w:val="009856F1"/>
    <w:rsid w:val="00985A3A"/>
    <w:rsid w:val="00985D61"/>
    <w:rsid w:val="00986728"/>
    <w:rsid w:val="00986A54"/>
    <w:rsid w:val="00986D2F"/>
    <w:rsid w:val="00986FDF"/>
    <w:rsid w:val="00987089"/>
    <w:rsid w:val="00987095"/>
    <w:rsid w:val="009870BD"/>
    <w:rsid w:val="009875D0"/>
    <w:rsid w:val="0099012D"/>
    <w:rsid w:val="00990168"/>
    <w:rsid w:val="0099088F"/>
    <w:rsid w:val="0099109B"/>
    <w:rsid w:val="00991976"/>
    <w:rsid w:val="00992A31"/>
    <w:rsid w:val="00992E52"/>
    <w:rsid w:val="009937BE"/>
    <w:rsid w:val="00993C17"/>
    <w:rsid w:val="009943D0"/>
    <w:rsid w:val="00994CB0"/>
    <w:rsid w:val="009958CC"/>
    <w:rsid w:val="00996DC6"/>
    <w:rsid w:val="009971BB"/>
    <w:rsid w:val="00997900"/>
    <w:rsid w:val="009A003B"/>
    <w:rsid w:val="009A01D8"/>
    <w:rsid w:val="009A0C20"/>
    <w:rsid w:val="009A0CE4"/>
    <w:rsid w:val="009A263F"/>
    <w:rsid w:val="009A286A"/>
    <w:rsid w:val="009A2926"/>
    <w:rsid w:val="009A3057"/>
    <w:rsid w:val="009A3223"/>
    <w:rsid w:val="009A3490"/>
    <w:rsid w:val="009A3555"/>
    <w:rsid w:val="009A3659"/>
    <w:rsid w:val="009A3FF1"/>
    <w:rsid w:val="009A4BC4"/>
    <w:rsid w:val="009A4CDF"/>
    <w:rsid w:val="009A5561"/>
    <w:rsid w:val="009A5968"/>
    <w:rsid w:val="009A5AC7"/>
    <w:rsid w:val="009A721D"/>
    <w:rsid w:val="009A748D"/>
    <w:rsid w:val="009A7888"/>
    <w:rsid w:val="009A7DE9"/>
    <w:rsid w:val="009B000F"/>
    <w:rsid w:val="009B0566"/>
    <w:rsid w:val="009B0F68"/>
    <w:rsid w:val="009B25A9"/>
    <w:rsid w:val="009B2615"/>
    <w:rsid w:val="009B340E"/>
    <w:rsid w:val="009B3893"/>
    <w:rsid w:val="009B3920"/>
    <w:rsid w:val="009B42A3"/>
    <w:rsid w:val="009B4367"/>
    <w:rsid w:val="009B4E56"/>
    <w:rsid w:val="009B5070"/>
    <w:rsid w:val="009B52AD"/>
    <w:rsid w:val="009B5C31"/>
    <w:rsid w:val="009B62E5"/>
    <w:rsid w:val="009B65E1"/>
    <w:rsid w:val="009B664D"/>
    <w:rsid w:val="009B6A0D"/>
    <w:rsid w:val="009B783C"/>
    <w:rsid w:val="009B7B2A"/>
    <w:rsid w:val="009C075D"/>
    <w:rsid w:val="009C0F4C"/>
    <w:rsid w:val="009C14F2"/>
    <w:rsid w:val="009C18A4"/>
    <w:rsid w:val="009C18F0"/>
    <w:rsid w:val="009C1DD8"/>
    <w:rsid w:val="009C4376"/>
    <w:rsid w:val="009C4572"/>
    <w:rsid w:val="009C7209"/>
    <w:rsid w:val="009C7D87"/>
    <w:rsid w:val="009D0568"/>
    <w:rsid w:val="009D09DA"/>
    <w:rsid w:val="009D1988"/>
    <w:rsid w:val="009D1CBA"/>
    <w:rsid w:val="009D1F41"/>
    <w:rsid w:val="009D200B"/>
    <w:rsid w:val="009D225E"/>
    <w:rsid w:val="009D28BE"/>
    <w:rsid w:val="009D323F"/>
    <w:rsid w:val="009D3C0F"/>
    <w:rsid w:val="009D46A4"/>
    <w:rsid w:val="009D4E89"/>
    <w:rsid w:val="009D4FFA"/>
    <w:rsid w:val="009D504B"/>
    <w:rsid w:val="009D64E8"/>
    <w:rsid w:val="009D77F6"/>
    <w:rsid w:val="009D79B8"/>
    <w:rsid w:val="009D7BDE"/>
    <w:rsid w:val="009E00FC"/>
    <w:rsid w:val="009E01C8"/>
    <w:rsid w:val="009E0D82"/>
    <w:rsid w:val="009E0F41"/>
    <w:rsid w:val="009E250C"/>
    <w:rsid w:val="009E2F63"/>
    <w:rsid w:val="009E349E"/>
    <w:rsid w:val="009E353C"/>
    <w:rsid w:val="009E37C4"/>
    <w:rsid w:val="009E3F2D"/>
    <w:rsid w:val="009E4215"/>
    <w:rsid w:val="009E45A1"/>
    <w:rsid w:val="009E5596"/>
    <w:rsid w:val="009E5B0A"/>
    <w:rsid w:val="009E6216"/>
    <w:rsid w:val="009E6839"/>
    <w:rsid w:val="009E69B8"/>
    <w:rsid w:val="009E718E"/>
    <w:rsid w:val="009E73FC"/>
    <w:rsid w:val="009F027D"/>
    <w:rsid w:val="009F0755"/>
    <w:rsid w:val="009F0CC8"/>
    <w:rsid w:val="009F0FEB"/>
    <w:rsid w:val="009F1466"/>
    <w:rsid w:val="009F1753"/>
    <w:rsid w:val="009F17BA"/>
    <w:rsid w:val="009F1BDE"/>
    <w:rsid w:val="009F31C4"/>
    <w:rsid w:val="009F3C4A"/>
    <w:rsid w:val="009F3D4B"/>
    <w:rsid w:val="009F4DE7"/>
    <w:rsid w:val="009F5262"/>
    <w:rsid w:val="009F62C6"/>
    <w:rsid w:val="009F65C3"/>
    <w:rsid w:val="009F68B9"/>
    <w:rsid w:val="00A00091"/>
    <w:rsid w:val="00A005CC"/>
    <w:rsid w:val="00A005FA"/>
    <w:rsid w:val="00A01283"/>
    <w:rsid w:val="00A020C0"/>
    <w:rsid w:val="00A039D1"/>
    <w:rsid w:val="00A03E61"/>
    <w:rsid w:val="00A07935"/>
    <w:rsid w:val="00A10EB3"/>
    <w:rsid w:val="00A10F89"/>
    <w:rsid w:val="00A11ADB"/>
    <w:rsid w:val="00A12113"/>
    <w:rsid w:val="00A12322"/>
    <w:rsid w:val="00A135D6"/>
    <w:rsid w:val="00A1399F"/>
    <w:rsid w:val="00A1431D"/>
    <w:rsid w:val="00A14375"/>
    <w:rsid w:val="00A1487C"/>
    <w:rsid w:val="00A158FC"/>
    <w:rsid w:val="00A15A98"/>
    <w:rsid w:val="00A15AC6"/>
    <w:rsid w:val="00A16CB6"/>
    <w:rsid w:val="00A20941"/>
    <w:rsid w:val="00A20CCE"/>
    <w:rsid w:val="00A20E48"/>
    <w:rsid w:val="00A21B5E"/>
    <w:rsid w:val="00A228F9"/>
    <w:rsid w:val="00A23CAB"/>
    <w:rsid w:val="00A24532"/>
    <w:rsid w:val="00A24B74"/>
    <w:rsid w:val="00A26621"/>
    <w:rsid w:val="00A2702C"/>
    <w:rsid w:val="00A27CFC"/>
    <w:rsid w:val="00A3088B"/>
    <w:rsid w:val="00A30F11"/>
    <w:rsid w:val="00A310D9"/>
    <w:rsid w:val="00A3155E"/>
    <w:rsid w:val="00A320D1"/>
    <w:rsid w:val="00A32CBF"/>
    <w:rsid w:val="00A3302E"/>
    <w:rsid w:val="00A332E3"/>
    <w:rsid w:val="00A342D0"/>
    <w:rsid w:val="00A347ED"/>
    <w:rsid w:val="00A348CB"/>
    <w:rsid w:val="00A34C62"/>
    <w:rsid w:val="00A352A9"/>
    <w:rsid w:val="00A3576D"/>
    <w:rsid w:val="00A35A29"/>
    <w:rsid w:val="00A35EFA"/>
    <w:rsid w:val="00A36076"/>
    <w:rsid w:val="00A366A8"/>
    <w:rsid w:val="00A36BFB"/>
    <w:rsid w:val="00A37307"/>
    <w:rsid w:val="00A37799"/>
    <w:rsid w:val="00A37911"/>
    <w:rsid w:val="00A379D8"/>
    <w:rsid w:val="00A410B5"/>
    <w:rsid w:val="00A41A1B"/>
    <w:rsid w:val="00A41DB4"/>
    <w:rsid w:val="00A42CC8"/>
    <w:rsid w:val="00A44068"/>
    <w:rsid w:val="00A44B44"/>
    <w:rsid w:val="00A460D5"/>
    <w:rsid w:val="00A46146"/>
    <w:rsid w:val="00A464C6"/>
    <w:rsid w:val="00A465C6"/>
    <w:rsid w:val="00A4784D"/>
    <w:rsid w:val="00A47CC2"/>
    <w:rsid w:val="00A47F09"/>
    <w:rsid w:val="00A5026B"/>
    <w:rsid w:val="00A511D4"/>
    <w:rsid w:val="00A51F43"/>
    <w:rsid w:val="00A521D8"/>
    <w:rsid w:val="00A5251B"/>
    <w:rsid w:val="00A53348"/>
    <w:rsid w:val="00A53C14"/>
    <w:rsid w:val="00A54D4A"/>
    <w:rsid w:val="00A559C4"/>
    <w:rsid w:val="00A55AA8"/>
    <w:rsid w:val="00A56256"/>
    <w:rsid w:val="00A565A3"/>
    <w:rsid w:val="00A56BC9"/>
    <w:rsid w:val="00A57145"/>
    <w:rsid w:val="00A57152"/>
    <w:rsid w:val="00A57698"/>
    <w:rsid w:val="00A57938"/>
    <w:rsid w:val="00A579B3"/>
    <w:rsid w:val="00A57FB3"/>
    <w:rsid w:val="00A60121"/>
    <w:rsid w:val="00A60241"/>
    <w:rsid w:val="00A60ABF"/>
    <w:rsid w:val="00A61186"/>
    <w:rsid w:val="00A61427"/>
    <w:rsid w:val="00A6159F"/>
    <w:rsid w:val="00A619B3"/>
    <w:rsid w:val="00A620C1"/>
    <w:rsid w:val="00A62F29"/>
    <w:rsid w:val="00A63DAB"/>
    <w:rsid w:val="00A64554"/>
    <w:rsid w:val="00A6537A"/>
    <w:rsid w:val="00A65D65"/>
    <w:rsid w:val="00A65DEB"/>
    <w:rsid w:val="00A65EFB"/>
    <w:rsid w:val="00A66A63"/>
    <w:rsid w:val="00A66B2D"/>
    <w:rsid w:val="00A66D93"/>
    <w:rsid w:val="00A66F7D"/>
    <w:rsid w:val="00A67589"/>
    <w:rsid w:val="00A679C1"/>
    <w:rsid w:val="00A67EFA"/>
    <w:rsid w:val="00A708FD"/>
    <w:rsid w:val="00A716E0"/>
    <w:rsid w:val="00A718FD"/>
    <w:rsid w:val="00A71BA7"/>
    <w:rsid w:val="00A7207F"/>
    <w:rsid w:val="00A7234E"/>
    <w:rsid w:val="00A72576"/>
    <w:rsid w:val="00A726EA"/>
    <w:rsid w:val="00A727A0"/>
    <w:rsid w:val="00A731CC"/>
    <w:rsid w:val="00A7346D"/>
    <w:rsid w:val="00A736BF"/>
    <w:rsid w:val="00A73EC5"/>
    <w:rsid w:val="00A741F7"/>
    <w:rsid w:val="00A75408"/>
    <w:rsid w:val="00A75859"/>
    <w:rsid w:val="00A7674E"/>
    <w:rsid w:val="00A76CF6"/>
    <w:rsid w:val="00A76FE3"/>
    <w:rsid w:val="00A81500"/>
    <w:rsid w:val="00A82F8D"/>
    <w:rsid w:val="00A83B4E"/>
    <w:rsid w:val="00A841D6"/>
    <w:rsid w:val="00A855E0"/>
    <w:rsid w:val="00A8572F"/>
    <w:rsid w:val="00A8583A"/>
    <w:rsid w:val="00A85CAC"/>
    <w:rsid w:val="00A864DB"/>
    <w:rsid w:val="00A875CD"/>
    <w:rsid w:val="00A87989"/>
    <w:rsid w:val="00A879BA"/>
    <w:rsid w:val="00A9037C"/>
    <w:rsid w:val="00A9048E"/>
    <w:rsid w:val="00A90791"/>
    <w:rsid w:val="00A90C9F"/>
    <w:rsid w:val="00A91E0E"/>
    <w:rsid w:val="00A91FB0"/>
    <w:rsid w:val="00A92689"/>
    <w:rsid w:val="00A92A33"/>
    <w:rsid w:val="00A92A67"/>
    <w:rsid w:val="00A92EF7"/>
    <w:rsid w:val="00A937DE"/>
    <w:rsid w:val="00A93CD2"/>
    <w:rsid w:val="00A94943"/>
    <w:rsid w:val="00A94C6B"/>
    <w:rsid w:val="00A9508E"/>
    <w:rsid w:val="00A954B3"/>
    <w:rsid w:val="00A95C3C"/>
    <w:rsid w:val="00A96285"/>
    <w:rsid w:val="00A96353"/>
    <w:rsid w:val="00A97A81"/>
    <w:rsid w:val="00A97DAB"/>
    <w:rsid w:val="00AA0043"/>
    <w:rsid w:val="00AA0390"/>
    <w:rsid w:val="00AA078D"/>
    <w:rsid w:val="00AA0811"/>
    <w:rsid w:val="00AA14A9"/>
    <w:rsid w:val="00AA15CC"/>
    <w:rsid w:val="00AA1652"/>
    <w:rsid w:val="00AA232B"/>
    <w:rsid w:val="00AA25C3"/>
    <w:rsid w:val="00AA347F"/>
    <w:rsid w:val="00AA351F"/>
    <w:rsid w:val="00AA42EB"/>
    <w:rsid w:val="00AA45E5"/>
    <w:rsid w:val="00AA4822"/>
    <w:rsid w:val="00AA50DB"/>
    <w:rsid w:val="00AA55AA"/>
    <w:rsid w:val="00AA5AA4"/>
    <w:rsid w:val="00AA6316"/>
    <w:rsid w:val="00AA72E1"/>
    <w:rsid w:val="00AA7AE1"/>
    <w:rsid w:val="00AA7B13"/>
    <w:rsid w:val="00AB023E"/>
    <w:rsid w:val="00AB056C"/>
    <w:rsid w:val="00AB12C2"/>
    <w:rsid w:val="00AB1A0A"/>
    <w:rsid w:val="00AB20D2"/>
    <w:rsid w:val="00AB21A4"/>
    <w:rsid w:val="00AB2706"/>
    <w:rsid w:val="00AB3314"/>
    <w:rsid w:val="00AB3591"/>
    <w:rsid w:val="00AB3639"/>
    <w:rsid w:val="00AB3D67"/>
    <w:rsid w:val="00AB42BA"/>
    <w:rsid w:val="00AB47C1"/>
    <w:rsid w:val="00AB4CCF"/>
    <w:rsid w:val="00AB5218"/>
    <w:rsid w:val="00AB59C2"/>
    <w:rsid w:val="00AB5BB9"/>
    <w:rsid w:val="00AB5C0B"/>
    <w:rsid w:val="00AB7774"/>
    <w:rsid w:val="00AC0C95"/>
    <w:rsid w:val="00AC248D"/>
    <w:rsid w:val="00AC2B8D"/>
    <w:rsid w:val="00AC2D69"/>
    <w:rsid w:val="00AC4240"/>
    <w:rsid w:val="00AC4483"/>
    <w:rsid w:val="00AC5219"/>
    <w:rsid w:val="00AC5229"/>
    <w:rsid w:val="00AC7A6D"/>
    <w:rsid w:val="00AC7DA1"/>
    <w:rsid w:val="00AD02F0"/>
    <w:rsid w:val="00AD0497"/>
    <w:rsid w:val="00AD1AAC"/>
    <w:rsid w:val="00AD1E96"/>
    <w:rsid w:val="00AD2095"/>
    <w:rsid w:val="00AD24A7"/>
    <w:rsid w:val="00AD26F4"/>
    <w:rsid w:val="00AD5348"/>
    <w:rsid w:val="00AD598D"/>
    <w:rsid w:val="00AD6560"/>
    <w:rsid w:val="00AD6577"/>
    <w:rsid w:val="00AD68FD"/>
    <w:rsid w:val="00AD6ADB"/>
    <w:rsid w:val="00AD7D4C"/>
    <w:rsid w:val="00AE0286"/>
    <w:rsid w:val="00AE1559"/>
    <w:rsid w:val="00AE1820"/>
    <w:rsid w:val="00AE193C"/>
    <w:rsid w:val="00AE199C"/>
    <w:rsid w:val="00AE1F26"/>
    <w:rsid w:val="00AE2318"/>
    <w:rsid w:val="00AE29C1"/>
    <w:rsid w:val="00AE3728"/>
    <w:rsid w:val="00AE380A"/>
    <w:rsid w:val="00AE3B88"/>
    <w:rsid w:val="00AE3D88"/>
    <w:rsid w:val="00AE451D"/>
    <w:rsid w:val="00AE48FB"/>
    <w:rsid w:val="00AE57C9"/>
    <w:rsid w:val="00AE64EE"/>
    <w:rsid w:val="00AE6A26"/>
    <w:rsid w:val="00AE7723"/>
    <w:rsid w:val="00AF01AF"/>
    <w:rsid w:val="00AF04CC"/>
    <w:rsid w:val="00AF05DC"/>
    <w:rsid w:val="00AF10A9"/>
    <w:rsid w:val="00AF1BB3"/>
    <w:rsid w:val="00AF1EE4"/>
    <w:rsid w:val="00AF21A2"/>
    <w:rsid w:val="00AF24C3"/>
    <w:rsid w:val="00AF2707"/>
    <w:rsid w:val="00AF27BD"/>
    <w:rsid w:val="00AF3125"/>
    <w:rsid w:val="00AF322D"/>
    <w:rsid w:val="00AF3C71"/>
    <w:rsid w:val="00AF4197"/>
    <w:rsid w:val="00AF42E3"/>
    <w:rsid w:val="00AF539E"/>
    <w:rsid w:val="00AF56BE"/>
    <w:rsid w:val="00AF59A6"/>
    <w:rsid w:val="00AF69E2"/>
    <w:rsid w:val="00AF6B31"/>
    <w:rsid w:val="00AF76DF"/>
    <w:rsid w:val="00AF76E5"/>
    <w:rsid w:val="00AF7F5D"/>
    <w:rsid w:val="00B001AF"/>
    <w:rsid w:val="00B008F1"/>
    <w:rsid w:val="00B00DC2"/>
    <w:rsid w:val="00B01599"/>
    <w:rsid w:val="00B0229B"/>
    <w:rsid w:val="00B024A2"/>
    <w:rsid w:val="00B04388"/>
    <w:rsid w:val="00B043CA"/>
    <w:rsid w:val="00B05FB8"/>
    <w:rsid w:val="00B067AD"/>
    <w:rsid w:val="00B07025"/>
    <w:rsid w:val="00B101BA"/>
    <w:rsid w:val="00B1038E"/>
    <w:rsid w:val="00B10C14"/>
    <w:rsid w:val="00B11274"/>
    <w:rsid w:val="00B1149F"/>
    <w:rsid w:val="00B11AFE"/>
    <w:rsid w:val="00B11B94"/>
    <w:rsid w:val="00B11CC8"/>
    <w:rsid w:val="00B12D07"/>
    <w:rsid w:val="00B130C6"/>
    <w:rsid w:val="00B13405"/>
    <w:rsid w:val="00B13B50"/>
    <w:rsid w:val="00B13F30"/>
    <w:rsid w:val="00B14946"/>
    <w:rsid w:val="00B14D6E"/>
    <w:rsid w:val="00B14FE8"/>
    <w:rsid w:val="00B15521"/>
    <w:rsid w:val="00B1558C"/>
    <w:rsid w:val="00B15EF1"/>
    <w:rsid w:val="00B160DD"/>
    <w:rsid w:val="00B1635B"/>
    <w:rsid w:val="00B163F3"/>
    <w:rsid w:val="00B16E64"/>
    <w:rsid w:val="00B202F6"/>
    <w:rsid w:val="00B2070A"/>
    <w:rsid w:val="00B210F5"/>
    <w:rsid w:val="00B21282"/>
    <w:rsid w:val="00B21988"/>
    <w:rsid w:val="00B21A83"/>
    <w:rsid w:val="00B21DCC"/>
    <w:rsid w:val="00B220B2"/>
    <w:rsid w:val="00B22400"/>
    <w:rsid w:val="00B22699"/>
    <w:rsid w:val="00B22FC5"/>
    <w:rsid w:val="00B239B9"/>
    <w:rsid w:val="00B243A0"/>
    <w:rsid w:val="00B24760"/>
    <w:rsid w:val="00B24B1B"/>
    <w:rsid w:val="00B25CE4"/>
    <w:rsid w:val="00B26257"/>
    <w:rsid w:val="00B265F9"/>
    <w:rsid w:val="00B26924"/>
    <w:rsid w:val="00B26AD6"/>
    <w:rsid w:val="00B26C26"/>
    <w:rsid w:val="00B26D6C"/>
    <w:rsid w:val="00B2708F"/>
    <w:rsid w:val="00B27583"/>
    <w:rsid w:val="00B27937"/>
    <w:rsid w:val="00B279B7"/>
    <w:rsid w:val="00B27D06"/>
    <w:rsid w:val="00B304E9"/>
    <w:rsid w:val="00B309F5"/>
    <w:rsid w:val="00B31361"/>
    <w:rsid w:val="00B31545"/>
    <w:rsid w:val="00B31B0A"/>
    <w:rsid w:val="00B3202B"/>
    <w:rsid w:val="00B327DE"/>
    <w:rsid w:val="00B32BB0"/>
    <w:rsid w:val="00B33247"/>
    <w:rsid w:val="00B33FCC"/>
    <w:rsid w:val="00B34262"/>
    <w:rsid w:val="00B347E4"/>
    <w:rsid w:val="00B34BAF"/>
    <w:rsid w:val="00B3572C"/>
    <w:rsid w:val="00B35741"/>
    <w:rsid w:val="00B35BED"/>
    <w:rsid w:val="00B35D79"/>
    <w:rsid w:val="00B35FBD"/>
    <w:rsid w:val="00B36238"/>
    <w:rsid w:val="00B3655A"/>
    <w:rsid w:val="00B36732"/>
    <w:rsid w:val="00B3674D"/>
    <w:rsid w:val="00B369BE"/>
    <w:rsid w:val="00B3705C"/>
    <w:rsid w:val="00B3724B"/>
    <w:rsid w:val="00B401AB"/>
    <w:rsid w:val="00B40925"/>
    <w:rsid w:val="00B41473"/>
    <w:rsid w:val="00B42367"/>
    <w:rsid w:val="00B42509"/>
    <w:rsid w:val="00B43120"/>
    <w:rsid w:val="00B43AE9"/>
    <w:rsid w:val="00B43C9A"/>
    <w:rsid w:val="00B43E24"/>
    <w:rsid w:val="00B44367"/>
    <w:rsid w:val="00B464BB"/>
    <w:rsid w:val="00B46636"/>
    <w:rsid w:val="00B466E9"/>
    <w:rsid w:val="00B4743C"/>
    <w:rsid w:val="00B47A75"/>
    <w:rsid w:val="00B5050E"/>
    <w:rsid w:val="00B50ABF"/>
    <w:rsid w:val="00B50C1A"/>
    <w:rsid w:val="00B51095"/>
    <w:rsid w:val="00B512E0"/>
    <w:rsid w:val="00B51960"/>
    <w:rsid w:val="00B52660"/>
    <w:rsid w:val="00B545A9"/>
    <w:rsid w:val="00B54690"/>
    <w:rsid w:val="00B548DC"/>
    <w:rsid w:val="00B55098"/>
    <w:rsid w:val="00B55BFA"/>
    <w:rsid w:val="00B56274"/>
    <w:rsid w:val="00B570EB"/>
    <w:rsid w:val="00B57430"/>
    <w:rsid w:val="00B577BC"/>
    <w:rsid w:val="00B603B5"/>
    <w:rsid w:val="00B60FF6"/>
    <w:rsid w:val="00B6183C"/>
    <w:rsid w:val="00B61A0B"/>
    <w:rsid w:val="00B62417"/>
    <w:rsid w:val="00B629DA"/>
    <w:rsid w:val="00B62A00"/>
    <w:rsid w:val="00B654C4"/>
    <w:rsid w:val="00B6581C"/>
    <w:rsid w:val="00B659E2"/>
    <w:rsid w:val="00B65F75"/>
    <w:rsid w:val="00B6636E"/>
    <w:rsid w:val="00B66AF5"/>
    <w:rsid w:val="00B70B85"/>
    <w:rsid w:val="00B70FA0"/>
    <w:rsid w:val="00B714B6"/>
    <w:rsid w:val="00B72CA7"/>
    <w:rsid w:val="00B737A8"/>
    <w:rsid w:val="00B73B1F"/>
    <w:rsid w:val="00B73DC4"/>
    <w:rsid w:val="00B73FAF"/>
    <w:rsid w:val="00B74A69"/>
    <w:rsid w:val="00B75294"/>
    <w:rsid w:val="00B76793"/>
    <w:rsid w:val="00B76ED8"/>
    <w:rsid w:val="00B804F1"/>
    <w:rsid w:val="00B81B38"/>
    <w:rsid w:val="00B837C8"/>
    <w:rsid w:val="00B8407F"/>
    <w:rsid w:val="00B84401"/>
    <w:rsid w:val="00B847ED"/>
    <w:rsid w:val="00B85514"/>
    <w:rsid w:val="00B8592A"/>
    <w:rsid w:val="00B85CBC"/>
    <w:rsid w:val="00B862D8"/>
    <w:rsid w:val="00B873D5"/>
    <w:rsid w:val="00B87AED"/>
    <w:rsid w:val="00B9038C"/>
    <w:rsid w:val="00B913E2"/>
    <w:rsid w:val="00B915E1"/>
    <w:rsid w:val="00B92271"/>
    <w:rsid w:val="00B933AD"/>
    <w:rsid w:val="00B93C3A"/>
    <w:rsid w:val="00B941C4"/>
    <w:rsid w:val="00B94F97"/>
    <w:rsid w:val="00B961BB"/>
    <w:rsid w:val="00B961E3"/>
    <w:rsid w:val="00B97265"/>
    <w:rsid w:val="00B97636"/>
    <w:rsid w:val="00B979A2"/>
    <w:rsid w:val="00B97E6B"/>
    <w:rsid w:val="00BA0DA9"/>
    <w:rsid w:val="00BA103E"/>
    <w:rsid w:val="00BA17FF"/>
    <w:rsid w:val="00BA1C9F"/>
    <w:rsid w:val="00BA21BB"/>
    <w:rsid w:val="00BA225D"/>
    <w:rsid w:val="00BA2794"/>
    <w:rsid w:val="00BA27B4"/>
    <w:rsid w:val="00BA2B58"/>
    <w:rsid w:val="00BA2E7A"/>
    <w:rsid w:val="00BA37D9"/>
    <w:rsid w:val="00BA384E"/>
    <w:rsid w:val="00BA3EB7"/>
    <w:rsid w:val="00BA45AE"/>
    <w:rsid w:val="00BA4625"/>
    <w:rsid w:val="00BA4FA7"/>
    <w:rsid w:val="00BA6003"/>
    <w:rsid w:val="00BA600D"/>
    <w:rsid w:val="00BA63E8"/>
    <w:rsid w:val="00BA66FE"/>
    <w:rsid w:val="00BA765F"/>
    <w:rsid w:val="00BB066E"/>
    <w:rsid w:val="00BB0E8C"/>
    <w:rsid w:val="00BB28E9"/>
    <w:rsid w:val="00BB2D13"/>
    <w:rsid w:val="00BB44D5"/>
    <w:rsid w:val="00BB453F"/>
    <w:rsid w:val="00BB5329"/>
    <w:rsid w:val="00BB54BA"/>
    <w:rsid w:val="00BB5C74"/>
    <w:rsid w:val="00BB5FF3"/>
    <w:rsid w:val="00BB648D"/>
    <w:rsid w:val="00BB687C"/>
    <w:rsid w:val="00BB693F"/>
    <w:rsid w:val="00BB7766"/>
    <w:rsid w:val="00BC01DE"/>
    <w:rsid w:val="00BC0E37"/>
    <w:rsid w:val="00BC112F"/>
    <w:rsid w:val="00BC158E"/>
    <w:rsid w:val="00BC1ED1"/>
    <w:rsid w:val="00BC1FD8"/>
    <w:rsid w:val="00BC1FF4"/>
    <w:rsid w:val="00BC216C"/>
    <w:rsid w:val="00BC2175"/>
    <w:rsid w:val="00BC21B4"/>
    <w:rsid w:val="00BC2407"/>
    <w:rsid w:val="00BC36DA"/>
    <w:rsid w:val="00BC370F"/>
    <w:rsid w:val="00BC44C4"/>
    <w:rsid w:val="00BC533E"/>
    <w:rsid w:val="00BC594D"/>
    <w:rsid w:val="00BC5C80"/>
    <w:rsid w:val="00BC61AF"/>
    <w:rsid w:val="00BC63AE"/>
    <w:rsid w:val="00BC665F"/>
    <w:rsid w:val="00BC666B"/>
    <w:rsid w:val="00BC7285"/>
    <w:rsid w:val="00BD00EB"/>
    <w:rsid w:val="00BD1BFF"/>
    <w:rsid w:val="00BD1E36"/>
    <w:rsid w:val="00BD1FAF"/>
    <w:rsid w:val="00BD3016"/>
    <w:rsid w:val="00BD31C9"/>
    <w:rsid w:val="00BD3891"/>
    <w:rsid w:val="00BD4088"/>
    <w:rsid w:val="00BD4BF3"/>
    <w:rsid w:val="00BD5B23"/>
    <w:rsid w:val="00BD6744"/>
    <w:rsid w:val="00BD6DD3"/>
    <w:rsid w:val="00BD7984"/>
    <w:rsid w:val="00BE01A3"/>
    <w:rsid w:val="00BE0220"/>
    <w:rsid w:val="00BE1485"/>
    <w:rsid w:val="00BE1B77"/>
    <w:rsid w:val="00BE1C1A"/>
    <w:rsid w:val="00BE20DF"/>
    <w:rsid w:val="00BE2D73"/>
    <w:rsid w:val="00BE3029"/>
    <w:rsid w:val="00BE3107"/>
    <w:rsid w:val="00BE32BD"/>
    <w:rsid w:val="00BE39DE"/>
    <w:rsid w:val="00BE41A0"/>
    <w:rsid w:val="00BE5118"/>
    <w:rsid w:val="00BE5E2A"/>
    <w:rsid w:val="00BE67D6"/>
    <w:rsid w:val="00BE6FA8"/>
    <w:rsid w:val="00BE7772"/>
    <w:rsid w:val="00BF072A"/>
    <w:rsid w:val="00BF146A"/>
    <w:rsid w:val="00BF1837"/>
    <w:rsid w:val="00BF264B"/>
    <w:rsid w:val="00BF2B1A"/>
    <w:rsid w:val="00BF30A1"/>
    <w:rsid w:val="00BF31B8"/>
    <w:rsid w:val="00BF3842"/>
    <w:rsid w:val="00BF3DFC"/>
    <w:rsid w:val="00BF482E"/>
    <w:rsid w:val="00BF6046"/>
    <w:rsid w:val="00BF6647"/>
    <w:rsid w:val="00BF72C5"/>
    <w:rsid w:val="00BF74F5"/>
    <w:rsid w:val="00BF7AEA"/>
    <w:rsid w:val="00BF7BF7"/>
    <w:rsid w:val="00BF7F98"/>
    <w:rsid w:val="00C00B3B"/>
    <w:rsid w:val="00C0106E"/>
    <w:rsid w:val="00C015F1"/>
    <w:rsid w:val="00C0192F"/>
    <w:rsid w:val="00C02A49"/>
    <w:rsid w:val="00C02B52"/>
    <w:rsid w:val="00C03056"/>
    <w:rsid w:val="00C035E2"/>
    <w:rsid w:val="00C03D41"/>
    <w:rsid w:val="00C04816"/>
    <w:rsid w:val="00C059C1"/>
    <w:rsid w:val="00C06D8A"/>
    <w:rsid w:val="00C1066C"/>
    <w:rsid w:val="00C10D4E"/>
    <w:rsid w:val="00C110C4"/>
    <w:rsid w:val="00C11D04"/>
    <w:rsid w:val="00C11E84"/>
    <w:rsid w:val="00C12062"/>
    <w:rsid w:val="00C127E9"/>
    <w:rsid w:val="00C1349C"/>
    <w:rsid w:val="00C136EB"/>
    <w:rsid w:val="00C1389D"/>
    <w:rsid w:val="00C13EBD"/>
    <w:rsid w:val="00C151A5"/>
    <w:rsid w:val="00C15231"/>
    <w:rsid w:val="00C15471"/>
    <w:rsid w:val="00C159D2"/>
    <w:rsid w:val="00C15C32"/>
    <w:rsid w:val="00C16FCC"/>
    <w:rsid w:val="00C1769B"/>
    <w:rsid w:val="00C1783A"/>
    <w:rsid w:val="00C20532"/>
    <w:rsid w:val="00C208D4"/>
    <w:rsid w:val="00C20A34"/>
    <w:rsid w:val="00C20D1C"/>
    <w:rsid w:val="00C210B4"/>
    <w:rsid w:val="00C21DE0"/>
    <w:rsid w:val="00C2238D"/>
    <w:rsid w:val="00C22677"/>
    <w:rsid w:val="00C22E3A"/>
    <w:rsid w:val="00C23A36"/>
    <w:rsid w:val="00C2514F"/>
    <w:rsid w:val="00C2589E"/>
    <w:rsid w:val="00C25CA7"/>
    <w:rsid w:val="00C25E79"/>
    <w:rsid w:val="00C25EBE"/>
    <w:rsid w:val="00C26C75"/>
    <w:rsid w:val="00C26E3E"/>
    <w:rsid w:val="00C2702E"/>
    <w:rsid w:val="00C272C7"/>
    <w:rsid w:val="00C2731C"/>
    <w:rsid w:val="00C300FB"/>
    <w:rsid w:val="00C30528"/>
    <w:rsid w:val="00C30A5C"/>
    <w:rsid w:val="00C31091"/>
    <w:rsid w:val="00C31B3A"/>
    <w:rsid w:val="00C31FB8"/>
    <w:rsid w:val="00C32078"/>
    <w:rsid w:val="00C3210C"/>
    <w:rsid w:val="00C3288A"/>
    <w:rsid w:val="00C33021"/>
    <w:rsid w:val="00C33786"/>
    <w:rsid w:val="00C338DD"/>
    <w:rsid w:val="00C362CB"/>
    <w:rsid w:val="00C3637B"/>
    <w:rsid w:val="00C368A3"/>
    <w:rsid w:val="00C37176"/>
    <w:rsid w:val="00C40803"/>
    <w:rsid w:val="00C40AFF"/>
    <w:rsid w:val="00C41743"/>
    <w:rsid w:val="00C41BB7"/>
    <w:rsid w:val="00C42513"/>
    <w:rsid w:val="00C43A94"/>
    <w:rsid w:val="00C43C3A"/>
    <w:rsid w:val="00C43C43"/>
    <w:rsid w:val="00C43CFD"/>
    <w:rsid w:val="00C442F2"/>
    <w:rsid w:val="00C44753"/>
    <w:rsid w:val="00C447FC"/>
    <w:rsid w:val="00C45647"/>
    <w:rsid w:val="00C45832"/>
    <w:rsid w:val="00C469BF"/>
    <w:rsid w:val="00C46A2B"/>
    <w:rsid w:val="00C46A3E"/>
    <w:rsid w:val="00C47102"/>
    <w:rsid w:val="00C50091"/>
    <w:rsid w:val="00C508E2"/>
    <w:rsid w:val="00C50D5B"/>
    <w:rsid w:val="00C5148A"/>
    <w:rsid w:val="00C51758"/>
    <w:rsid w:val="00C518AE"/>
    <w:rsid w:val="00C51980"/>
    <w:rsid w:val="00C51B2A"/>
    <w:rsid w:val="00C522AE"/>
    <w:rsid w:val="00C5253C"/>
    <w:rsid w:val="00C53711"/>
    <w:rsid w:val="00C53A28"/>
    <w:rsid w:val="00C53C24"/>
    <w:rsid w:val="00C5428C"/>
    <w:rsid w:val="00C5490D"/>
    <w:rsid w:val="00C553DC"/>
    <w:rsid w:val="00C55AB9"/>
    <w:rsid w:val="00C55B47"/>
    <w:rsid w:val="00C56549"/>
    <w:rsid w:val="00C568DB"/>
    <w:rsid w:val="00C56B61"/>
    <w:rsid w:val="00C56EA3"/>
    <w:rsid w:val="00C57DEB"/>
    <w:rsid w:val="00C606EF"/>
    <w:rsid w:val="00C60D92"/>
    <w:rsid w:val="00C615A9"/>
    <w:rsid w:val="00C622A7"/>
    <w:rsid w:val="00C62632"/>
    <w:rsid w:val="00C626CC"/>
    <w:rsid w:val="00C62C57"/>
    <w:rsid w:val="00C631BB"/>
    <w:rsid w:val="00C632BB"/>
    <w:rsid w:val="00C63B05"/>
    <w:rsid w:val="00C649BF"/>
    <w:rsid w:val="00C64EC2"/>
    <w:rsid w:val="00C66763"/>
    <w:rsid w:val="00C66CE2"/>
    <w:rsid w:val="00C66F45"/>
    <w:rsid w:val="00C6768E"/>
    <w:rsid w:val="00C6799D"/>
    <w:rsid w:val="00C71274"/>
    <w:rsid w:val="00C71579"/>
    <w:rsid w:val="00C71738"/>
    <w:rsid w:val="00C74810"/>
    <w:rsid w:val="00C75ADB"/>
    <w:rsid w:val="00C75F72"/>
    <w:rsid w:val="00C76DCA"/>
    <w:rsid w:val="00C770F4"/>
    <w:rsid w:val="00C775F2"/>
    <w:rsid w:val="00C77AF2"/>
    <w:rsid w:val="00C80125"/>
    <w:rsid w:val="00C8041A"/>
    <w:rsid w:val="00C8046B"/>
    <w:rsid w:val="00C8069C"/>
    <w:rsid w:val="00C80C8B"/>
    <w:rsid w:val="00C80CB9"/>
    <w:rsid w:val="00C81E1B"/>
    <w:rsid w:val="00C83261"/>
    <w:rsid w:val="00C845F0"/>
    <w:rsid w:val="00C84E03"/>
    <w:rsid w:val="00C855EA"/>
    <w:rsid w:val="00C86096"/>
    <w:rsid w:val="00C86888"/>
    <w:rsid w:val="00C86CDA"/>
    <w:rsid w:val="00C86DFE"/>
    <w:rsid w:val="00C876D4"/>
    <w:rsid w:val="00C902F9"/>
    <w:rsid w:val="00C90E9B"/>
    <w:rsid w:val="00C910D3"/>
    <w:rsid w:val="00C91740"/>
    <w:rsid w:val="00C9211E"/>
    <w:rsid w:val="00C92BC3"/>
    <w:rsid w:val="00C92E77"/>
    <w:rsid w:val="00C936EB"/>
    <w:rsid w:val="00C93D5A"/>
    <w:rsid w:val="00C95C9A"/>
    <w:rsid w:val="00C964DB"/>
    <w:rsid w:val="00C96B20"/>
    <w:rsid w:val="00C9725B"/>
    <w:rsid w:val="00C97AD1"/>
    <w:rsid w:val="00C97F4E"/>
    <w:rsid w:val="00CA06BE"/>
    <w:rsid w:val="00CA09C4"/>
    <w:rsid w:val="00CA0CE8"/>
    <w:rsid w:val="00CA240F"/>
    <w:rsid w:val="00CA26C0"/>
    <w:rsid w:val="00CA417C"/>
    <w:rsid w:val="00CA585E"/>
    <w:rsid w:val="00CA5899"/>
    <w:rsid w:val="00CA5D86"/>
    <w:rsid w:val="00CA6B6E"/>
    <w:rsid w:val="00CA7489"/>
    <w:rsid w:val="00CA75CE"/>
    <w:rsid w:val="00CA7A63"/>
    <w:rsid w:val="00CB0217"/>
    <w:rsid w:val="00CB05F7"/>
    <w:rsid w:val="00CB0AD6"/>
    <w:rsid w:val="00CB11E3"/>
    <w:rsid w:val="00CB1852"/>
    <w:rsid w:val="00CB2900"/>
    <w:rsid w:val="00CB3BF6"/>
    <w:rsid w:val="00CB42E2"/>
    <w:rsid w:val="00CB4BEA"/>
    <w:rsid w:val="00CB5475"/>
    <w:rsid w:val="00CB5D66"/>
    <w:rsid w:val="00CB618D"/>
    <w:rsid w:val="00CB7637"/>
    <w:rsid w:val="00CB769F"/>
    <w:rsid w:val="00CC0E7B"/>
    <w:rsid w:val="00CC1882"/>
    <w:rsid w:val="00CC1F37"/>
    <w:rsid w:val="00CC3395"/>
    <w:rsid w:val="00CC34C0"/>
    <w:rsid w:val="00CC34C9"/>
    <w:rsid w:val="00CC36CC"/>
    <w:rsid w:val="00CC36D1"/>
    <w:rsid w:val="00CC3C8A"/>
    <w:rsid w:val="00CC3DF9"/>
    <w:rsid w:val="00CC41D8"/>
    <w:rsid w:val="00CC42B8"/>
    <w:rsid w:val="00CC4EE4"/>
    <w:rsid w:val="00CC5CB7"/>
    <w:rsid w:val="00CC6128"/>
    <w:rsid w:val="00CC69DD"/>
    <w:rsid w:val="00CC7A59"/>
    <w:rsid w:val="00CD0A67"/>
    <w:rsid w:val="00CD0AE9"/>
    <w:rsid w:val="00CD0D4B"/>
    <w:rsid w:val="00CD0EDB"/>
    <w:rsid w:val="00CD14F2"/>
    <w:rsid w:val="00CD1703"/>
    <w:rsid w:val="00CD182C"/>
    <w:rsid w:val="00CD309D"/>
    <w:rsid w:val="00CD359A"/>
    <w:rsid w:val="00CD375D"/>
    <w:rsid w:val="00CD436D"/>
    <w:rsid w:val="00CD48B6"/>
    <w:rsid w:val="00CD4A4E"/>
    <w:rsid w:val="00CD4D2C"/>
    <w:rsid w:val="00CD6CAC"/>
    <w:rsid w:val="00CD72FA"/>
    <w:rsid w:val="00CE1739"/>
    <w:rsid w:val="00CE1D89"/>
    <w:rsid w:val="00CE2B4A"/>
    <w:rsid w:val="00CE2D38"/>
    <w:rsid w:val="00CE311F"/>
    <w:rsid w:val="00CE4019"/>
    <w:rsid w:val="00CE409E"/>
    <w:rsid w:val="00CE4D07"/>
    <w:rsid w:val="00CE54A7"/>
    <w:rsid w:val="00CE590F"/>
    <w:rsid w:val="00CE5F9D"/>
    <w:rsid w:val="00CE6C4D"/>
    <w:rsid w:val="00CE6D1E"/>
    <w:rsid w:val="00CE6DC8"/>
    <w:rsid w:val="00CE7035"/>
    <w:rsid w:val="00CF05C0"/>
    <w:rsid w:val="00CF0E7F"/>
    <w:rsid w:val="00CF1301"/>
    <w:rsid w:val="00CF1B9C"/>
    <w:rsid w:val="00CF1C7A"/>
    <w:rsid w:val="00CF2524"/>
    <w:rsid w:val="00CF34EC"/>
    <w:rsid w:val="00CF3E42"/>
    <w:rsid w:val="00CF54E9"/>
    <w:rsid w:val="00CF6087"/>
    <w:rsid w:val="00CF66D7"/>
    <w:rsid w:val="00CF7699"/>
    <w:rsid w:val="00D00190"/>
    <w:rsid w:val="00D00228"/>
    <w:rsid w:val="00D01836"/>
    <w:rsid w:val="00D01FEA"/>
    <w:rsid w:val="00D0200E"/>
    <w:rsid w:val="00D02366"/>
    <w:rsid w:val="00D028DB"/>
    <w:rsid w:val="00D0359F"/>
    <w:rsid w:val="00D039E0"/>
    <w:rsid w:val="00D042F4"/>
    <w:rsid w:val="00D04CF5"/>
    <w:rsid w:val="00D04E6F"/>
    <w:rsid w:val="00D05DFD"/>
    <w:rsid w:val="00D066F4"/>
    <w:rsid w:val="00D0677C"/>
    <w:rsid w:val="00D073A3"/>
    <w:rsid w:val="00D108F6"/>
    <w:rsid w:val="00D109B0"/>
    <w:rsid w:val="00D10F7C"/>
    <w:rsid w:val="00D11164"/>
    <w:rsid w:val="00D11BC7"/>
    <w:rsid w:val="00D1223A"/>
    <w:rsid w:val="00D127D2"/>
    <w:rsid w:val="00D128B7"/>
    <w:rsid w:val="00D12B66"/>
    <w:rsid w:val="00D12D66"/>
    <w:rsid w:val="00D13AF1"/>
    <w:rsid w:val="00D13F00"/>
    <w:rsid w:val="00D15B93"/>
    <w:rsid w:val="00D1616D"/>
    <w:rsid w:val="00D16610"/>
    <w:rsid w:val="00D171D8"/>
    <w:rsid w:val="00D17FC9"/>
    <w:rsid w:val="00D208DB"/>
    <w:rsid w:val="00D20C14"/>
    <w:rsid w:val="00D21E1B"/>
    <w:rsid w:val="00D22E7C"/>
    <w:rsid w:val="00D237EA"/>
    <w:rsid w:val="00D238DB"/>
    <w:rsid w:val="00D240C7"/>
    <w:rsid w:val="00D24814"/>
    <w:rsid w:val="00D24D48"/>
    <w:rsid w:val="00D25601"/>
    <w:rsid w:val="00D25ADE"/>
    <w:rsid w:val="00D26656"/>
    <w:rsid w:val="00D2665A"/>
    <w:rsid w:val="00D266A9"/>
    <w:rsid w:val="00D26E76"/>
    <w:rsid w:val="00D27259"/>
    <w:rsid w:val="00D306C6"/>
    <w:rsid w:val="00D31D42"/>
    <w:rsid w:val="00D332E7"/>
    <w:rsid w:val="00D33505"/>
    <w:rsid w:val="00D33916"/>
    <w:rsid w:val="00D3435D"/>
    <w:rsid w:val="00D34B2B"/>
    <w:rsid w:val="00D34C4B"/>
    <w:rsid w:val="00D34D38"/>
    <w:rsid w:val="00D34D50"/>
    <w:rsid w:val="00D3534D"/>
    <w:rsid w:val="00D35602"/>
    <w:rsid w:val="00D36485"/>
    <w:rsid w:val="00D365DA"/>
    <w:rsid w:val="00D368BB"/>
    <w:rsid w:val="00D3695E"/>
    <w:rsid w:val="00D378D6"/>
    <w:rsid w:val="00D40463"/>
    <w:rsid w:val="00D41884"/>
    <w:rsid w:val="00D420A2"/>
    <w:rsid w:val="00D42994"/>
    <w:rsid w:val="00D42DE4"/>
    <w:rsid w:val="00D43E61"/>
    <w:rsid w:val="00D43F27"/>
    <w:rsid w:val="00D43F7C"/>
    <w:rsid w:val="00D44537"/>
    <w:rsid w:val="00D45058"/>
    <w:rsid w:val="00D452C6"/>
    <w:rsid w:val="00D45DFD"/>
    <w:rsid w:val="00D463D7"/>
    <w:rsid w:val="00D4645B"/>
    <w:rsid w:val="00D46F86"/>
    <w:rsid w:val="00D47016"/>
    <w:rsid w:val="00D471A3"/>
    <w:rsid w:val="00D471B1"/>
    <w:rsid w:val="00D47844"/>
    <w:rsid w:val="00D47CED"/>
    <w:rsid w:val="00D50BC4"/>
    <w:rsid w:val="00D50D2E"/>
    <w:rsid w:val="00D515A2"/>
    <w:rsid w:val="00D5180C"/>
    <w:rsid w:val="00D5203C"/>
    <w:rsid w:val="00D52DA9"/>
    <w:rsid w:val="00D52E98"/>
    <w:rsid w:val="00D540D1"/>
    <w:rsid w:val="00D5503F"/>
    <w:rsid w:val="00D5522C"/>
    <w:rsid w:val="00D55940"/>
    <w:rsid w:val="00D562A7"/>
    <w:rsid w:val="00D56756"/>
    <w:rsid w:val="00D57792"/>
    <w:rsid w:val="00D601FE"/>
    <w:rsid w:val="00D60997"/>
    <w:rsid w:val="00D61BE8"/>
    <w:rsid w:val="00D61DED"/>
    <w:rsid w:val="00D620CE"/>
    <w:rsid w:val="00D62392"/>
    <w:rsid w:val="00D62AD3"/>
    <w:rsid w:val="00D62CEE"/>
    <w:rsid w:val="00D64602"/>
    <w:rsid w:val="00D6507E"/>
    <w:rsid w:val="00D65988"/>
    <w:rsid w:val="00D659E8"/>
    <w:rsid w:val="00D65CBD"/>
    <w:rsid w:val="00D65E96"/>
    <w:rsid w:val="00D65EAC"/>
    <w:rsid w:val="00D661E6"/>
    <w:rsid w:val="00D66243"/>
    <w:rsid w:val="00D6673C"/>
    <w:rsid w:val="00D66C0B"/>
    <w:rsid w:val="00D66C27"/>
    <w:rsid w:val="00D66EAA"/>
    <w:rsid w:val="00D6769C"/>
    <w:rsid w:val="00D67921"/>
    <w:rsid w:val="00D705B0"/>
    <w:rsid w:val="00D70C0D"/>
    <w:rsid w:val="00D70EA1"/>
    <w:rsid w:val="00D71FDF"/>
    <w:rsid w:val="00D72038"/>
    <w:rsid w:val="00D73037"/>
    <w:rsid w:val="00D734BE"/>
    <w:rsid w:val="00D737B3"/>
    <w:rsid w:val="00D746D5"/>
    <w:rsid w:val="00D7508E"/>
    <w:rsid w:val="00D75EC1"/>
    <w:rsid w:val="00D8009E"/>
    <w:rsid w:val="00D80266"/>
    <w:rsid w:val="00D8030B"/>
    <w:rsid w:val="00D8091B"/>
    <w:rsid w:val="00D80BCE"/>
    <w:rsid w:val="00D81E39"/>
    <w:rsid w:val="00D845BA"/>
    <w:rsid w:val="00D848C7"/>
    <w:rsid w:val="00D84B3B"/>
    <w:rsid w:val="00D857A2"/>
    <w:rsid w:val="00D85C55"/>
    <w:rsid w:val="00D8657C"/>
    <w:rsid w:val="00D87098"/>
    <w:rsid w:val="00D900E5"/>
    <w:rsid w:val="00D90960"/>
    <w:rsid w:val="00D91110"/>
    <w:rsid w:val="00D9167D"/>
    <w:rsid w:val="00D917F0"/>
    <w:rsid w:val="00D918C2"/>
    <w:rsid w:val="00D92985"/>
    <w:rsid w:val="00D9319A"/>
    <w:rsid w:val="00D931DF"/>
    <w:rsid w:val="00D94032"/>
    <w:rsid w:val="00D94C23"/>
    <w:rsid w:val="00D95DF8"/>
    <w:rsid w:val="00D97319"/>
    <w:rsid w:val="00D97CF3"/>
    <w:rsid w:val="00DA009B"/>
    <w:rsid w:val="00DA02BB"/>
    <w:rsid w:val="00DA1402"/>
    <w:rsid w:val="00DA1EAF"/>
    <w:rsid w:val="00DA204C"/>
    <w:rsid w:val="00DA28D7"/>
    <w:rsid w:val="00DA39C4"/>
    <w:rsid w:val="00DA42BE"/>
    <w:rsid w:val="00DA56A2"/>
    <w:rsid w:val="00DA56E7"/>
    <w:rsid w:val="00DA5CDC"/>
    <w:rsid w:val="00DA680F"/>
    <w:rsid w:val="00DA72C5"/>
    <w:rsid w:val="00DA7F46"/>
    <w:rsid w:val="00DB1C7E"/>
    <w:rsid w:val="00DB1D31"/>
    <w:rsid w:val="00DB28F8"/>
    <w:rsid w:val="00DB3208"/>
    <w:rsid w:val="00DB36F0"/>
    <w:rsid w:val="00DB4102"/>
    <w:rsid w:val="00DB5A61"/>
    <w:rsid w:val="00DB6884"/>
    <w:rsid w:val="00DB6BCC"/>
    <w:rsid w:val="00DB70D4"/>
    <w:rsid w:val="00DB7398"/>
    <w:rsid w:val="00DB78F4"/>
    <w:rsid w:val="00DB7EE0"/>
    <w:rsid w:val="00DC0964"/>
    <w:rsid w:val="00DC2003"/>
    <w:rsid w:val="00DC2C7D"/>
    <w:rsid w:val="00DC2FD3"/>
    <w:rsid w:val="00DC325D"/>
    <w:rsid w:val="00DC427E"/>
    <w:rsid w:val="00DC457B"/>
    <w:rsid w:val="00DC52F7"/>
    <w:rsid w:val="00DC55AA"/>
    <w:rsid w:val="00DC65C3"/>
    <w:rsid w:val="00DC6E6E"/>
    <w:rsid w:val="00DC73B0"/>
    <w:rsid w:val="00DC7544"/>
    <w:rsid w:val="00DC7604"/>
    <w:rsid w:val="00DC7B80"/>
    <w:rsid w:val="00DD0110"/>
    <w:rsid w:val="00DD0D92"/>
    <w:rsid w:val="00DD0F9B"/>
    <w:rsid w:val="00DD11D6"/>
    <w:rsid w:val="00DD15EB"/>
    <w:rsid w:val="00DD213E"/>
    <w:rsid w:val="00DD2F28"/>
    <w:rsid w:val="00DD3231"/>
    <w:rsid w:val="00DD38B3"/>
    <w:rsid w:val="00DD3DE0"/>
    <w:rsid w:val="00DD3E4A"/>
    <w:rsid w:val="00DD4259"/>
    <w:rsid w:val="00DD46D9"/>
    <w:rsid w:val="00DD477A"/>
    <w:rsid w:val="00DD4ABC"/>
    <w:rsid w:val="00DD62E7"/>
    <w:rsid w:val="00DD690B"/>
    <w:rsid w:val="00DD6C75"/>
    <w:rsid w:val="00DD6E94"/>
    <w:rsid w:val="00DD70D0"/>
    <w:rsid w:val="00DD7822"/>
    <w:rsid w:val="00DE04C2"/>
    <w:rsid w:val="00DE0F35"/>
    <w:rsid w:val="00DE1BBD"/>
    <w:rsid w:val="00DE1E6E"/>
    <w:rsid w:val="00DE24FD"/>
    <w:rsid w:val="00DE2C63"/>
    <w:rsid w:val="00DE33C5"/>
    <w:rsid w:val="00DE4758"/>
    <w:rsid w:val="00DE4976"/>
    <w:rsid w:val="00DE5B52"/>
    <w:rsid w:val="00DE5F09"/>
    <w:rsid w:val="00DE64E1"/>
    <w:rsid w:val="00DE7004"/>
    <w:rsid w:val="00DE712C"/>
    <w:rsid w:val="00DE75C2"/>
    <w:rsid w:val="00DF03E1"/>
    <w:rsid w:val="00DF16A3"/>
    <w:rsid w:val="00DF17DC"/>
    <w:rsid w:val="00DF1B63"/>
    <w:rsid w:val="00DF1C56"/>
    <w:rsid w:val="00DF2004"/>
    <w:rsid w:val="00DF20C8"/>
    <w:rsid w:val="00DF255E"/>
    <w:rsid w:val="00DF26BB"/>
    <w:rsid w:val="00DF2DCF"/>
    <w:rsid w:val="00DF31BF"/>
    <w:rsid w:val="00DF31FF"/>
    <w:rsid w:val="00DF34C3"/>
    <w:rsid w:val="00DF4822"/>
    <w:rsid w:val="00DF4E55"/>
    <w:rsid w:val="00DF6F25"/>
    <w:rsid w:val="00DF728E"/>
    <w:rsid w:val="00DF7BF6"/>
    <w:rsid w:val="00E01B3B"/>
    <w:rsid w:val="00E021B8"/>
    <w:rsid w:val="00E02CFD"/>
    <w:rsid w:val="00E037FF"/>
    <w:rsid w:val="00E046C2"/>
    <w:rsid w:val="00E04D1D"/>
    <w:rsid w:val="00E058F0"/>
    <w:rsid w:val="00E0606D"/>
    <w:rsid w:val="00E065AC"/>
    <w:rsid w:val="00E068B4"/>
    <w:rsid w:val="00E06C17"/>
    <w:rsid w:val="00E06FFB"/>
    <w:rsid w:val="00E100D9"/>
    <w:rsid w:val="00E101A7"/>
    <w:rsid w:val="00E109E5"/>
    <w:rsid w:val="00E11278"/>
    <w:rsid w:val="00E1281B"/>
    <w:rsid w:val="00E13193"/>
    <w:rsid w:val="00E13E39"/>
    <w:rsid w:val="00E13E8F"/>
    <w:rsid w:val="00E149B2"/>
    <w:rsid w:val="00E1649A"/>
    <w:rsid w:val="00E165DE"/>
    <w:rsid w:val="00E171E4"/>
    <w:rsid w:val="00E17E86"/>
    <w:rsid w:val="00E20ED0"/>
    <w:rsid w:val="00E21286"/>
    <w:rsid w:val="00E22484"/>
    <w:rsid w:val="00E228F8"/>
    <w:rsid w:val="00E2297E"/>
    <w:rsid w:val="00E22ADD"/>
    <w:rsid w:val="00E25042"/>
    <w:rsid w:val="00E25DB3"/>
    <w:rsid w:val="00E25E84"/>
    <w:rsid w:val="00E2759E"/>
    <w:rsid w:val="00E27A1A"/>
    <w:rsid w:val="00E3072A"/>
    <w:rsid w:val="00E30C27"/>
    <w:rsid w:val="00E30C4F"/>
    <w:rsid w:val="00E3369E"/>
    <w:rsid w:val="00E3397F"/>
    <w:rsid w:val="00E363B3"/>
    <w:rsid w:val="00E36BDC"/>
    <w:rsid w:val="00E40668"/>
    <w:rsid w:val="00E40967"/>
    <w:rsid w:val="00E41B2A"/>
    <w:rsid w:val="00E4245E"/>
    <w:rsid w:val="00E42508"/>
    <w:rsid w:val="00E434F5"/>
    <w:rsid w:val="00E437E2"/>
    <w:rsid w:val="00E43AD5"/>
    <w:rsid w:val="00E43F43"/>
    <w:rsid w:val="00E44373"/>
    <w:rsid w:val="00E45F17"/>
    <w:rsid w:val="00E46688"/>
    <w:rsid w:val="00E46B13"/>
    <w:rsid w:val="00E46EFC"/>
    <w:rsid w:val="00E47D7D"/>
    <w:rsid w:val="00E47F06"/>
    <w:rsid w:val="00E514E9"/>
    <w:rsid w:val="00E519A6"/>
    <w:rsid w:val="00E520DC"/>
    <w:rsid w:val="00E526C0"/>
    <w:rsid w:val="00E52808"/>
    <w:rsid w:val="00E52FC4"/>
    <w:rsid w:val="00E53A48"/>
    <w:rsid w:val="00E53AA5"/>
    <w:rsid w:val="00E53BD8"/>
    <w:rsid w:val="00E570AA"/>
    <w:rsid w:val="00E570CC"/>
    <w:rsid w:val="00E57714"/>
    <w:rsid w:val="00E60354"/>
    <w:rsid w:val="00E60650"/>
    <w:rsid w:val="00E60B80"/>
    <w:rsid w:val="00E60CCA"/>
    <w:rsid w:val="00E616B0"/>
    <w:rsid w:val="00E61B16"/>
    <w:rsid w:val="00E627EE"/>
    <w:rsid w:val="00E62BC0"/>
    <w:rsid w:val="00E62D7A"/>
    <w:rsid w:val="00E634DD"/>
    <w:rsid w:val="00E638F2"/>
    <w:rsid w:val="00E64047"/>
    <w:rsid w:val="00E651B7"/>
    <w:rsid w:val="00E6573D"/>
    <w:rsid w:val="00E65DD5"/>
    <w:rsid w:val="00E67BA8"/>
    <w:rsid w:val="00E67D49"/>
    <w:rsid w:val="00E67EB6"/>
    <w:rsid w:val="00E7030F"/>
    <w:rsid w:val="00E704DD"/>
    <w:rsid w:val="00E70881"/>
    <w:rsid w:val="00E70DEF"/>
    <w:rsid w:val="00E7145E"/>
    <w:rsid w:val="00E71F86"/>
    <w:rsid w:val="00E7240D"/>
    <w:rsid w:val="00E725D2"/>
    <w:rsid w:val="00E74A7B"/>
    <w:rsid w:val="00E74B4C"/>
    <w:rsid w:val="00E74B9B"/>
    <w:rsid w:val="00E754FD"/>
    <w:rsid w:val="00E759BC"/>
    <w:rsid w:val="00E75D27"/>
    <w:rsid w:val="00E7674E"/>
    <w:rsid w:val="00E76C86"/>
    <w:rsid w:val="00E7733D"/>
    <w:rsid w:val="00E80719"/>
    <w:rsid w:val="00E80F04"/>
    <w:rsid w:val="00E810C9"/>
    <w:rsid w:val="00E81795"/>
    <w:rsid w:val="00E818A7"/>
    <w:rsid w:val="00E821E5"/>
    <w:rsid w:val="00E83278"/>
    <w:rsid w:val="00E833DA"/>
    <w:rsid w:val="00E83B7B"/>
    <w:rsid w:val="00E8455A"/>
    <w:rsid w:val="00E84BA8"/>
    <w:rsid w:val="00E86B32"/>
    <w:rsid w:val="00E86B6D"/>
    <w:rsid w:val="00E86DAE"/>
    <w:rsid w:val="00E87D4C"/>
    <w:rsid w:val="00E906BC"/>
    <w:rsid w:val="00E910BA"/>
    <w:rsid w:val="00E9158E"/>
    <w:rsid w:val="00E91AAC"/>
    <w:rsid w:val="00E91CDE"/>
    <w:rsid w:val="00E92056"/>
    <w:rsid w:val="00E93643"/>
    <w:rsid w:val="00E93E48"/>
    <w:rsid w:val="00E942A4"/>
    <w:rsid w:val="00E94654"/>
    <w:rsid w:val="00E94E9D"/>
    <w:rsid w:val="00E95331"/>
    <w:rsid w:val="00E95356"/>
    <w:rsid w:val="00E95BDD"/>
    <w:rsid w:val="00E95C62"/>
    <w:rsid w:val="00E95F84"/>
    <w:rsid w:val="00E97088"/>
    <w:rsid w:val="00E97320"/>
    <w:rsid w:val="00E97D7D"/>
    <w:rsid w:val="00EA06E8"/>
    <w:rsid w:val="00EA214B"/>
    <w:rsid w:val="00EA2471"/>
    <w:rsid w:val="00EA3B59"/>
    <w:rsid w:val="00EA4345"/>
    <w:rsid w:val="00EA48F1"/>
    <w:rsid w:val="00EA4A32"/>
    <w:rsid w:val="00EA4FE6"/>
    <w:rsid w:val="00EA5501"/>
    <w:rsid w:val="00EA7C70"/>
    <w:rsid w:val="00EA7F98"/>
    <w:rsid w:val="00EB05EF"/>
    <w:rsid w:val="00EB0E68"/>
    <w:rsid w:val="00EB193F"/>
    <w:rsid w:val="00EB1A0E"/>
    <w:rsid w:val="00EB1AF5"/>
    <w:rsid w:val="00EB2031"/>
    <w:rsid w:val="00EB28D5"/>
    <w:rsid w:val="00EB2C0D"/>
    <w:rsid w:val="00EB349B"/>
    <w:rsid w:val="00EB3811"/>
    <w:rsid w:val="00EB3A10"/>
    <w:rsid w:val="00EB5E0E"/>
    <w:rsid w:val="00EB7505"/>
    <w:rsid w:val="00EB7ADF"/>
    <w:rsid w:val="00EC071E"/>
    <w:rsid w:val="00EC0866"/>
    <w:rsid w:val="00EC1455"/>
    <w:rsid w:val="00EC146D"/>
    <w:rsid w:val="00EC1784"/>
    <w:rsid w:val="00EC2DBB"/>
    <w:rsid w:val="00EC370E"/>
    <w:rsid w:val="00EC474D"/>
    <w:rsid w:val="00EC6169"/>
    <w:rsid w:val="00EC65A1"/>
    <w:rsid w:val="00EC6CD1"/>
    <w:rsid w:val="00EC6FC2"/>
    <w:rsid w:val="00EC7159"/>
    <w:rsid w:val="00EC7194"/>
    <w:rsid w:val="00EC71FB"/>
    <w:rsid w:val="00EC7707"/>
    <w:rsid w:val="00ED02F8"/>
    <w:rsid w:val="00ED0A49"/>
    <w:rsid w:val="00ED0CF8"/>
    <w:rsid w:val="00ED1278"/>
    <w:rsid w:val="00ED168D"/>
    <w:rsid w:val="00ED16B3"/>
    <w:rsid w:val="00ED1967"/>
    <w:rsid w:val="00ED1A96"/>
    <w:rsid w:val="00ED2778"/>
    <w:rsid w:val="00ED2D77"/>
    <w:rsid w:val="00ED35E7"/>
    <w:rsid w:val="00ED38C5"/>
    <w:rsid w:val="00ED4313"/>
    <w:rsid w:val="00ED4C33"/>
    <w:rsid w:val="00ED4F52"/>
    <w:rsid w:val="00ED5EE8"/>
    <w:rsid w:val="00ED76F0"/>
    <w:rsid w:val="00ED7AC4"/>
    <w:rsid w:val="00ED7BF9"/>
    <w:rsid w:val="00ED7F66"/>
    <w:rsid w:val="00EE025D"/>
    <w:rsid w:val="00EE142C"/>
    <w:rsid w:val="00EE1711"/>
    <w:rsid w:val="00EE2134"/>
    <w:rsid w:val="00EE215A"/>
    <w:rsid w:val="00EE3145"/>
    <w:rsid w:val="00EE33DD"/>
    <w:rsid w:val="00EE38A8"/>
    <w:rsid w:val="00EE41F3"/>
    <w:rsid w:val="00EE4488"/>
    <w:rsid w:val="00EE4539"/>
    <w:rsid w:val="00EE481F"/>
    <w:rsid w:val="00EE5806"/>
    <w:rsid w:val="00EE5F65"/>
    <w:rsid w:val="00EE6691"/>
    <w:rsid w:val="00EE6E24"/>
    <w:rsid w:val="00EF0E0C"/>
    <w:rsid w:val="00EF0F19"/>
    <w:rsid w:val="00EF0FD3"/>
    <w:rsid w:val="00EF1088"/>
    <w:rsid w:val="00EF1250"/>
    <w:rsid w:val="00EF1437"/>
    <w:rsid w:val="00EF16B0"/>
    <w:rsid w:val="00EF2086"/>
    <w:rsid w:val="00EF22FA"/>
    <w:rsid w:val="00EF23D6"/>
    <w:rsid w:val="00EF2426"/>
    <w:rsid w:val="00EF4C79"/>
    <w:rsid w:val="00EF5251"/>
    <w:rsid w:val="00EF5A28"/>
    <w:rsid w:val="00EF5A64"/>
    <w:rsid w:val="00EF5C1B"/>
    <w:rsid w:val="00EF72DA"/>
    <w:rsid w:val="00F002AF"/>
    <w:rsid w:val="00F0048D"/>
    <w:rsid w:val="00F006E2"/>
    <w:rsid w:val="00F021CB"/>
    <w:rsid w:val="00F02F6A"/>
    <w:rsid w:val="00F03E22"/>
    <w:rsid w:val="00F04141"/>
    <w:rsid w:val="00F049AA"/>
    <w:rsid w:val="00F04F51"/>
    <w:rsid w:val="00F04FE7"/>
    <w:rsid w:val="00F06279"/>
    <w:rsid w:val="00F06A3E"/>
    <w:rsid w:val="00F06C76"/>
    <w:rsid w:val="00F07735"/>
    <w:rsid w:val="00F07C18"/>
    <w:rsid w:val="00F10259"/>
    <w:rsid w:val="00F10B87"/>
    <w:rsid w:val="00F119CB"/>
    <w:rsid w:val="00F11D05"/>
    <w:rsid w:val="00F128B9"/>
    <w:rsid w:val="00F12AAD"/>
    <w:rsid w:val="00F12E3F"/>
    <w:rsid w:val="00F14A02"/>
    <w:rsid w:val="00F14D2C"/>
    <w:rsid w:val="00F1613E"/>
    <w:rsid w:val="00F162F0"/>
    <w:rsid w:val="00F168AD"/>
    <w:rsid w:val="00F168D0"/>
    <w:rsid w:val="00F1695D"/>
    <w:rsid w:val="00F16BFF"/>
    <w:rsid w:val="00F204D1"/>
    <w:rsid w:val="00F20752"/>
    <w:rsid w:val="00F212E3"/>
    <w:rsid w:val="00F213F1"/>
    <w:rsid w:val="00F214E0"/>
    <w:rsid w:val="00F223CC"/>
    <w:rsid w:val="00F22D43"/>
    <w:rsid w:val="00F23158"/>
    <w:rsid w:val="00F237F1"/>
    <w:rsid w:val="00F23F55"/>
    <w:rsid w:val="00F251D1"/>
    <w:rsid w:val="00F255A6"/>
    <w:rsid w:val="00F25C5A"/>
    <w:rsid w:val="00F26CC2"/>
    <w:rsid w:val="00F26F2E"/>
    <w:rsid w:val="00F274BB"/>
    <w:rsid w:val="00F27BD5"/>
    <w:rsid w:val="00F3009A"/>
    <w:rsid w:val="00F30128"/>
    <w:rsid w:val="00F308ED"/>
    <w:rsid w:val="00F31342"/>
    <w:rsid w:val="00F31397"/>
    <w:rsid w:val="00F318F7"/>
    <w:rsid w:val="00F33D54"/>
    <w:rsid w:val="00F34EE7"/>
    <w:rsid w:val="00F35020"/>
    <w:rsid w:val="00F354EA"/>
    <w:rsid w:val="00F36035"/>
    <w:rsid w:val="00F3631B"/>
    <w:rsid w:val="00F36A56"/>
    <w:rsid w:val="00F37CDA"/>
    <w:rsid w:val="00F37E8C"/>
    <w:rsid w:val="00F401E5"/>
    <w:rsid w:val="00F40870"/>
    <w:rsid w:val="00F413DD"/>
    <w:rsid w:val="00F41418"/>
    <w:rsid w:val="00F4333C"/>
    <w:rsid w:val="00F43800"/>
    <w:rsid w:val="00F43AEB"/>
    <w:rsid w:val="00F43E2B"/>
    <w:rsid w:val="00F459E8"/>
    <w:rsid w:val="00F45D1A"/>
    <w:rsid w:val="00F4623A"/>
    <w:rsid w:val="00F463D0"/>
    <w:rsid w:val="00F46602"/>
    <w:rsid w:val="00F47C75"/>
    <w:rsid w:val="00F5030B"/>
    <w:rsid w:val="00F50D3C"/>
    <w:rsid w:val="00F51080"/>
    <w:rsid w:val="00F515B2"/>
    <w:rsid w:val="00F5167F"/>
    <w:rsid w:val="00F523B3"/>
    <w:rsid w:val="00F52E34"/>
    <w:rsid w:val="00F53496"/>
    <w:rsid w:val="00F53E5A"/>
    <w:rsid w:val="00F53FEE"/>
    <w:rsid w:val="00F5497F"/>
    <w:rsid w:val="00F549AE"/>
    <w:rsid w:val="00F54FE1"/>
    <w:rsid w:val="00F550AF"/>
    <w:rsid w:val="00F55589"/>
    <w:rsid w:val="00F55693"/>
    <w:rsid w:val="00F563DD"/>
    <w:rsid w:val="00F5663D"/>
    <w:rsid w:val="00F56884"/>
    <w:rsid w:val="00F56D0D"/>
    <w:rsid w:val="00F573E4"/>
    <w:rsid w:val="00F5778F"/>
    <w:rsid w:val="00F60BA7"/>
    <w:rsid w:val="00F61360"/>
    <w:rsid w:val="00F616F0"/>
    <w:rsid w:val="00F6288F"/>
    <w:rsid w:val="00F6336A"/>
    <w:rsid w:val="00F63E90"/>
    <w:rsid w:val="00F64160"/>
    <w:rsid w:val="00F644B9"/>
    <w:rsid w:val="00F64DD2"/>
    <w:rsid w:val="00F6548D"/>
    <w:rsid w:val="00F660B3"/>
    <w:rsid w:val="00F6704F"/>
    <w:rsid w:val="00F67143"/>
    <w:rsid w:val="00F676FF"/>
    <w:rsid w:val="00F6793E"/>
    <w:rsid w:val="00F67982"/>
    <w:rsid w:val="00F70357"/>
    <w:rsid w:val="00F704B7"/>
    <w:rsid w:val="00F705F9"/>
    <w:rsid w:val="00F717BC"/>
    <w:rsid w:val="00F71AF4"/>
    <w:rsid w:val="00F72636"/>
    <w:rsid w:val="00F72DAA"/>
    <w:rsid w:val="00F73D76"/>
    <w:rsid w:val="00F73E3F"/>
    <w:rsid w:val="00F73EDD"/>
    <w:rsid w:val="00F746CD"/>
    <w:rsid w:val="00F75621"/>
    <w:rsid w:val="00F75BF0"/>
    <w:rsid w:val="00F7741A"/>
    <w:rsid w:val="00F80BBD"/>
    <w:rsid w:val="00F8196B"/>
    <w:rsid w:val="00F825FC"/>
    <w:rsid w:val="00F82798"/>
    <w:rsid w:val="00F82ADC"/>
    <w:rsid w:val="00F82C1A"/>
    <w:rsid w:val="00F82F4D"/>
    <w:rsid w:val="00F83505"/>
    <w:rsid w:val="00F8414A"/>
    <w:rsid w:val="00F846A1"/>
    <w:rsid w:val="00F846D8"/>
    <w:rsid w:val="00F8470D"/>
    <w:rsid w:val="00F857A6"/>
    <w:rsid w:val="00F86376"/>
    <w:rsid w:val="00F86D35"/>
    <w:rsid w:val="00F910AE"/>
    <w:rsid w:val="00F91EA3"/>
    <w:rsid w:val="00F927A2"/>
    <w:rsid w:val="00F931E0"/>
    <w:rsid w:val="00F93433"/>
    <w:rsid w:val="00F94094"/>
    <w:rsid w:val="00F942B1"/>
    <w:rsid w:val="00F94611"/>
    <w:rsid w:val="00F94FCB"/>
    <w:rsid w:val="00F95061"/>
    <w:rsid w:val="00F95D71"/>
    <w:rsid w:val="00F96338"/>
    <w:rsid w:val="00F970D6"/>
    <w:rsid w:val="00F97D04"/>
    <w:rsid w:val="00FA003B"/>
    <w:rsid w:val="00FA02FD"/>
    <w:rsid w:val="00FA0525"/>
    <w:rsid w:val="00FA1912"/>
    <w:rsid w:val="00FA1957"/>
    <w:rsid w:val="00FA23E2"/>
    <w:rsid w:val="00FA2D3F"/>
    <w:rsid w:val="00FA2F3C"/>
    <w:rsid w:val="00FA41AB"/>
    <w:rsid w:val="00FA46F5"/>
    <w:rsid w:val="00FA49D4"/>
    <w:rsid w:val="00FA4EA1"/>
    <w:rsid w:val="00FA587E"/>
    <w:rsid w:val="00FA58A8"/>
    <w:rsid w:val="00FA5AB5"/>
    <w:rsid w:val="00FA5DE8"/>
    <w:rsid w:val="00FA6A49"/>
    <w:rsid w:val="00FA6B84"/>
    <w:rsid w:val="00FA6EB4"/>
    <w:rsid w:val="00FA6F36"/>
    <w:rsid w:val="00FA75FD"/>
    <w:rsid w:val="00FA7C6E"/>
    <w:rsid w:val="00FB0629"/>
    <w:rsid w:val="00FB198F"/>
    <w:rsid w:val="00FB1C0A"/>
    <w:rsid w:val="00FB33FF"/>
    <w:rsid w:val="00FB399A"/>
    <w:rsid w:val="00FB44B5"/>
    <w:rsid w:val="00FB4BFC"/>
    <w:rsid w:val="00FB4D0F"/>
    <w:rsid w:val="00FB54E7"/>
    <w:rsid w:val="00FB56D9"/>
    <w:rsid w:val="00FB6850"/>
    <w:rsid w:val="00FB7245"/>
    <w:rsid w:val="00FB7ACA"/>
    <w:rsid w:val="00FC0168"/>
    <w:rsid w:val="00FC03C8"/>
    <w:rsid w:val="00FC1EA3"/>
    <w:rsid w:val="00FC1F9A"/>
    <w:rsid w:val="00FC204B"/>
    <w:rsid w:val="00FC2E1E"/>
    <w:rsid w:val="00FC3549"/>
    <w:rsid w:val="00FC396A"/>
    <w:rsid w:val="00FC3D51"/>
    <w:rsid w:val="00FC41A8"/>
    <w:rsid w:val="00FC4D01"/>
    <w:rsid w:val="00FC52BB"/>
    <w:rsid w:val="00FC545D"/>
    <w:rsid w:val="00FC5795"/>
    <w:rsid w:val="00FC67A5"/>
    <w:rsid w:val="00FC6E87"/>
    <w:rsid w:val="00FC713A"/>
    <w:rsid w:val="00FC72E6"/>
    <w:rsid w:val="00FD1C4B"/>
    <w:rsid w:val="00FD22FA"/>
    <w:rsid w:val="00FD2662"/>
    <w:rsid w:val="00FD2F78"/>
    <w:rsid w:val="00FD3D8E"/>
    <w:rsid w:val="00FD4101"/>
    <w:rsid w:val="00FD45B6"/>
    <w:rsid w:val="00FD46F0"/>
    <w:rsid w:val="00FD4E67"/>
    <w:rsid w:val="00FD52C3"/>
    <w:rsid w:val="00FD5B38"/>
    <w:rsid w:val="00FD65B6"/>
    <w:rsid w:val="00FD710D"/>
    <w:rsid w:val="00FD7374"/>
    <w:rsid w:val="00FE0ABF"/>
    <w:rsid w:val="00FE0B44"/>
    <w:rsid w:val="00FE1D5F"/>
    <w:rsid w:val="00FE2F2C"/>
    <w:rsid w:val="00FE312E"/>
    <w:rsid w:val="00FE34EC"/>
    <w:rsid w:val="00FE3572"/>
    <w:rsid w:val="00FE3646"/>
    <w:rsid w:val="00FE3774"/>
    <w:rsid w:val="00FE4E83"/>
    <w:rsid w:val="00FE51CA"/>
    <w:rsid w:val="00FE607B"/>
    <w:rsid w:val="00FE6944"/>
    <w:rsid w:val="00FE7384"/>
    <w:rsid w:val="00FE7545"/>
    <w:rsid w:val="00FE75FC"/>
    <w:rsid w:val="00FE769E"/>
    <w:rsid w:val="00FE76EE"/>
    <w:rsid w:val="00FF0E8C"/>
    <w:rsid w:val="00FF1683"/>
    <w:rsid w:val="00FF1DE0"/>
    <w:rsid w:val="00FF21AA"/>
    <w:rsid w:val="00FF3305"/>
    <w:rsid w:val="00FF3A09"/>
    <w:rsid w:val="00FF3A9C"/>
    <w:rsid w:val="00FF48A3"/>
    <w:rsid w:val="00FF573E"/>
    <w:rsid w:val="00FF5F66"/>
    <w:rsid w:val="00FF5FAA"/>
    <w:rsid w:val="00FF71C5"/>
    <w:rsid w:val="00FF73D1"/>
    <w:rsid w:val="00FF7511"/>
    <w:rsid w:val="00FF7D97"/>
    <w:rsid w:val="05241976"/>
    <w:rsid w:val="0A596291"/>
    <w:rsid w:val="18028372"/>
    <w:rsid w:val="1E2E7762"/>
    <w:rsid w:val="2F105EB7"/>
    <w:rsid w:val="2FB23DE7"/>
    <w:rsid w:val="30B273E7"/>
    <w:rsid w:val="332D0FD5"/>
    <w:rsid w:val="345B66C1"/>
    <w:rsid w:val="34AC732B"/>
    <w:rsid w:val="350A3065"/>
    <w:rsid w:val="36B417CA"/>
    <w:rsid w:val="370905A4"/>
    <w:rsid w:val="405E7F9B"/>
    <w:rsid w:val="458E2D89"/>
    <w:rsid w:val="4CBF412D"/>
    <w:rsid w:val="4F226AB9"/>
    <w:rsid w:val="516B2380"/>
    <w:rsid w:val="541657D9"/>
    <w:rsid w:val="564458CB"/>
    <w:rsid w:val="60B85282"/>
    <w:rsid w:val="6E5740CB"/>
    <w:rsid w:val="70FE0110"/>
    <w:rsid w:val="77E110F7"/>
    <w:rsid w:val="7D927665"/>
    <w:rsid w:val="7DA008BB"/>
    <w:rsid w:val="7DA8556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semiHidden="0" w:name="toc 1"/>
    <w:lsdException w:uiPriority="39" w:semiHidden="0" w:name="toc 2"/>
    <w:lsdException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spacing w:line="360" w:lineRule="exact"/>
      <w:jc w:val="both"/>
    </w:pPr>
    <w:rPr>
      <w:rFonts w:ascii="思源黑体 CN Regular" w:hAnsi="思源黑体 CN Regular" w:eastAsia="思源黑体 CN Regular" w:cstheme="minorBidi"/>
      <w:kern w:val="2"/>
      <w:szCs w:val="22"/>
      <w:lang w:val="en-US" w:eastAsia="zh-CN" w:bidi="ar-SA"/>
    </w:rPr>
  </w:style>
  <w:style w:type="paragraph" w:styleId="2">
    <w:name w:val="heading 1"/>
    <w:basedOn w:val="1"/>
    <w:next w:val="1"/>
    <w:link w:val="28"/>
    <w:autoRedefine/>
    <w:qFormat/>
    <w:uiPriority w:val="9"/>
    <w:pPr>
      <w:keepNext/>
      <w:keepLines/>
      <w:spacing w:before="340" w:after="330" w:line="578" w:lineRule="auto"/>
      <w:outlineLvl w:val="0"/>
    </w:pPr>
    <w:rPr>
      <w:rFonts w:eastAsia="微软雅黑"/>
      <w:b/>
      <w:bCs/>
      <w:color w:val="F0463C"/>
      <w:kern w:val="44"/>
      <w:sz w:val="44"/>
      <w:szCs w:val="44"/>
    </w:rPr>
  </w:style>
  <w:style w:type="paragraph" w:styleId="3">
    <w:name w:val="heading 2"/>
    <w:basedOn w:val="1"/>
    <w:next w:val="1"/>
    <w:link w:val="26"/>
    <w:autoRedefine/>
    <w:unhideWhenUsed/>
    <w:qFormat/>
    <w:uiPriority w:val="9"/>
    <w:pPr>
      <w:keepNext/>
      <w:keepLines/>
      <w:numPr>
        <w:ilvl w:val="1"/>
        <w:numId w:val="1"/>
      </w:numPr>
      <w:spacing w:before="260" w:after="260" w:line="416" w:lineRule="auto"/>
      <w:outlineLvl w:val="1"/>
    </w:pPr>
    <w:rPr>
      <w:rFonts w:asciiTheme="majorHAnsi" w:hAnsiTheme="majorHAnsi" w:eastAsiaTheme="majorEastAsia" w:cstheme="majorBidi"/>
      <w:b/>
      <w:bCs/>
      <w:color w:val="F0463C"/>
      <w:sz w:val="32"/>
      <w:szCs w:val="32"/>
    </w:rPr>
  </w:style>
  <w:style w:type="paragraph" w:styleId="4">
    <w:name w:val="heading 3"/>
    <w:basedOn w:val="1"/>
    <w:next w:val="1"/>
    <w:link w:val="57"/>
    <w:semiHidden/>
    <w:unhideWhenUsed/>
    <w:qFormat/>
    <w:uiPriority w:val="9"/>
    <w:pPr>
      <w:keepNext/>
      <w:keepLines/>
      <w:spacing w:before="40"/>
      <w:outlineLvl w:val="2"/>
    </w:pPr>
    <w:rPr>
      <w:rFonts w:asciiTheme="majorHAnsi" w:hAnsiTheme="majorHAnsi" w:eastAsiaTheme="majorEastAsia" w:cstheme="majorBidi"/>
      <w:color w:val="1F4E79" w:themeColor="accent1" w:themeShade="80"/>
      <w:sz w:val="24"/>
      <w:szCs w:val="24"/>
    </w:rPr>
  </w:style>
  <w:style w:type="paragraph" w:styleId="5">
    <w:name w:val="heading 4"/>
    <w:basedOn w:val="1"/>
    <w:next w:val="1"/>
    <w:link w:val="65"/>
    <w:autoRedefine/>
    <w:semiHidden/>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link w:val="58"/>
    <w:autoRedefine/>
    <w:semiHidden/>
    <w:unhideWhenUsed/>
    <w:qFormat/>
    <w:uiPriority w:val="9"/>
    <w:pPr>
      <w:keepNext/>
      <w:keepLines/>
      <w:spacing w:before="40"/>
      <w:outlineLvl w:val="4"/>
    </w:pPr>
    <w:rPr>
      <w:rFonts w:asciiTheme="majorHAnsi" w:hAnsiTheme="majorHAnsi" w:eastAsiaTheme="majorEastAsia" w:cstheme="majorBidi"/>
      <w:color w:val="2E75B6" w:themeColor="accent1" w:themeShade="BF"/>
    </w:rPr>
  </w:style>
  <w:style w:type="character" w:default="1" w:styleId="19">
    <w:name w:val="Default Paragraph Font"/>
    <w:semiHidden/>
    <w:unhideWhenUsed/>
    <w:uiPriority w:val="1"/>
  </w:style>
  <w:style w:type="table" w:default="1" w:styleId="17">
    <w:name w:val="Normal Table"/>
    <w:semiHidden/>
    <w:unhideWhenUsed/>
    <w:uiPriority w:val="99"/>
    <w:tblPr>
      <w:tblCellMar>
        <w:top w:w="0" w:type="dxa"/>
        <w:left w:w="108" w:type="dxa"/>
        <w:bottom w:w="0" w:type="dxa"/>
        <w:right w:w="108" w:type="dxa"/>
      </w:tblCellMar>
    </w:tblPr>
  </w:style>
  <w:style w:type="paragraph" w:styleId="7">
    <w:name w:val="annotation text"/>
    <w:basedOn w:val="1"/>
    <w:link w:val="52"/>
    <w:semiHidden/>
    <w:unhideWhenUsed/>
    <w:qFormat/>
    <w:uiPriority w:val="99"/>
    <w:pPr>
      <w:jc w:val="left"/>
    </w:pPr>
  </w:style>
  <w:style w:type="paragraph" w:styleId="8">
    <w:name w:val="toc 3"/>
    <w:basedOn w:val="1"/>
    <w:next w:val="1"/>
    <w:unhideWhenUsed/>
    <w:uiPriority w:val="39"/>
    <w:pPr>
      <w:spacing w:after="100"/>
      <w:ind w:left="420"/>
    </w:pPr>
  </w:style>
  <w:style w:type="paragraph" w:styleId="9">
    <w:name w:val="Balloon Text"/>
    <w:basedOn w:val="1"/>
    <w:link w:val="50"/>
    <w:semiHidden/>
    <w:unhideWhenUsed/>
    <w:qFormat/>
    <w:uiPriority w:val="99"/>
    <w:rPr>
      <w:sz w:val="18"/>
      <w:szCs w:val="18"/>
    </w:rPr>
  </w:style>
  <w:style w:type="paragraph" w:styleId="10">
    <w:name w:val="footer"/>
    <w:basedOn w:val="1"/>
    <w:link w:val="42"/>
    <w:unhideWhenUsed/>
    <w:qFormat/>
    <w:uiPriority w:val="99"/>
    <w:pPr>
      <w:tabs>
        <w:tab w:val="center" w:pos="4153"/>
        <w:tab w:val="right" w:pos="8306"/>
      </w:tabs>
      <w:snapToGrid w:val="0"/>
      <w:jc w:val="left"/>
    </w:pPr>
    <w:rPr>
      <w:sz w:val="18"/>
      <w:szCs w:val="18"/>
    </w:rPr>
  </w:style>
  <w:style w:type="paragraph" w:styleId="11">
    <w:name w:val="header"/>
    <w:basedOn w:val="1"/>
    <w:link w:val="41"/>
    <w:unhideWhenUsed/>
    <w:qFormat/>
    <w:uiPriority w:val="99"/>
    <w:pPr>
      <w:pBdr>
        <w:bottom w:val="single" w:color="auto" w:sz="6" w:space="1"/>
      </w:pBdr>
      <w:tabs>
        <w:tab w:val="center" w:pos="4153"/>
        <w:tab w:val="right" w:pos="8306"/>
      </w:tabs>
      <w:snapToGrid w:val="0"/>
      <w:jc w:val="center"/>
    </w:pPr>
    <w:rPr>
      <w:sz w:val="18"/>
      <w:szCs w:val="18"/>
    </w:rPr>
  </w:style>
  <w:style w:type="paragraph" w:styleId="12">
    <w:name w:val="toc 1"/>
    <w:basedOn w:val="1"/>
    <w:next w:val="1"/>
    <w:unhideWhenUsed/>
    <w:uiPriority w:val="39"/>
    <w:pPr>
      <w:tabs>
        <w:tab w:val="left" w:pos="420"/>
        <w:tab w:val="right" w:leader="dot" w:pos="8296"/>
      </w:tabs>
      <w:spacing w:before="240" w:after="120"/>
      <w:jc w:val="left"/>
    </w:pPr>
    <w:rPr>
      <w:b/>
      <w:bCs/>
      <w:sz w:val="24"/>
      <w:szCs w:val="20"/>
    </w:rPr>
  </w:style>
  <w:style w:type="paragraph" w:styleId="13">
    <w:name w:val="footnote text"/>
    <w:basedOn w:val="1"/>
    <w:link w:val="75"/>
    <w:semiHidden/>
    <w:unhideWhenUsed/>
    <w:uiPriority w:val="99"/>
    <w:pPr>
      <w:spacing w:line="240" w:lineRule="auto"/>
    </w:pPr>
    <w:rPr>
      <w:szCs w:val="20"/>
    </w:rPr>
  </w:style>
  <w:style w:type="paragraph" w:styleId="14">
    <w:name w:val="toc 2"/>
    <w:basedOn w:val="1"/>
    <w:next w:val="1"/>
    <w:unhideWhenUsed/>
    <w:uiPriority w:val="39"/>
    <w:pPr>
      <w:tabs>
        <w:tab w:val="left" w:pos="880"/>
        <w:tab w:val="right" w:leader="dot" w:pos="8296"/>
      </w:tabs>
      <w:spacing w:before="120"/>
      <w:ind w:left="210"/>
      <w:jc w:val="left"/>
    </w:pPr>
    <w:rPr>
      <w:i/>
      <w:iCs/>
      <w:sz w:val="21"/>
      <w:szCs w:val="20"/>
    </w:rPr>
  </w:style>
  <w:style w:type="paragraph" w:styleId="15">
    <w:name w:val="Normal (Web)"/>
    <w:basedOn w:val="1"/>
    <w:unhideWhenUsed/>
    <w:qFormat/>
    <w:uiPriority w:val="0"/>
    <w:pPr>
      <w:widowControl/>
      <w:spacing w:before="100" w:beforeAutospacing="1" w:after="100" w:afterAutospacing="1"/>
      <w:jc w:val="left"/>
    </w:pPr>
    <w:rPr>
      <w:rFonts w:ascii="宋体" w:hAnsi="宋体" w:eastAsia="宋体" w:cs="宋体"/>
      <w:kern w:val="0"/>
      <w:sz w:val="24"/>
      <w:szCs w:val="24"/>
    </w:rPr>
  </w:style>
  <w:style w:type="paragraph" w:styleId="16">
    <w:name w:val="annotation subject"/>
    <w:basedOn w:val="7"/>
    <w:next w:val="7"/>
    <w:link w:val="53"/>
    <w:semiHidden/>
    <w:unhideWhenUsed/>
    <w:qFormat/>
    <w:uiPriority w:val="99"/>
    <w:rPr>
      <w:b/>
      <w:bCs/>
    </w:rPr>
  </w:style>
  <w:style w:type="table" w:styleId="18">
    <w:name w:val="Table Grid"/>
    <w:basedOn w:val="1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0">
    <w:name w:val="Strong"/>
    <w:basedOn w:val="19"/>
    <w:qFormat/>
    <w:uiPriority w:val="22"/>
    <w:rPr>
      <w:b/>
      <w:bCs/>
    </w:rPr>
  </w:style>
  <w:style w:type="character" w:styleId="21">
    <w:name w:val="FollowedHyperlink"/>
    <w:basedOn w:val="19"/>
    <w:semiHidden/>
    <w:unhideWhenUsed/>
    <w:qFormat/>
    <w:uiPriority w:val="99"/>
    <w:rPr>
      <w:color w:val="954F72" w:themeColor="followedHyperlink"/>
      <w:u w:val="single"/>
      <w14:textFill>
        <w14:solidFill>
          <w14:schemeClr w14:val="folHlink"/>
        </w14:solidFill>
      </w14:textFill>
    </w:rPr>
  </w:style>
  <w:style w:type="character" w:styleId="22">
    <w:name w:val="Emphasis"/>
    <w:basedOn w:val="19"/>
    <w:qFormat/>
    <w:uiPriority w:val="20"/>
    <w:rPr>
      <w:i/>
      <w:iCs/>
    </w:rPr>
  </w:style>
  <w:style w:type="character" w:styleId="23">
    <w:name w:val="Hyperlink"/>
    <w:basedOn w:val="19"/>
    <w:unhideWhenUsed/>
    <w:qFormat/>
    <w:uiPriority w:val="99"/>
    <w:rPr>
      <w:color w:val="0563C1" w:themeColor="hyperlink"/>
      <w:u w:val="single"/>
      <w14:textFill>
        <w14:solidFill>
          <w14:schemeClr w14:val="hlink"/>
        </w14:solidFill>
      </w14:textFill>
    </w:rPr>
  </w:style>
  <w:style w:type="character" w:styleId="24">
    <w:name w:val="annotation reference"/>
    <w:basedOn w:val="19"/>
    <w:semiHidden/>
    <w:unhideWhenUsed/>
    <w:qFormat/>
    <w:uiPriority w:val="99"/>
    <w:rPr>
      <w:sz w:val="21"/>
      <w:szCs w:val="21"/>
    </w:rPr>
  </w:style>
  <w:style w:type="character" w:styleId="25">
    <w:name w:val="footnote reference"/>
    <w:basedOn w:val="19"/>
    <w:semiHidden/>
    <w:unhideWhenUsed/>
    <w:uiPriority w:val="99"/>
    <w:rPr>
      <w:vertAlign w:val="superscript"/>
    </w:rPr>
  </w:style>
  <w:style w:type="character" w:customStyle="1" w:styleId="26">
    <w:name w:val="标题 2 字符"/>
    <w:basedOn w:val="19"/>
    <w:link w:val="3"/>
    <w:uiPriority w:val="9"/>
    <w:rPr>
      <w:rFonts w:asciiTheme="majorHAnsi" w:hAnsiTheme="majorHAnsi" w:eastAsiaTheme="majorEastAsia" w:cstheme="majorBidi"/>
      <w:b/>
      <w:bCs/>
      <w:color w:val="F0463C"/>
      <w:kern w:val="2"/>
      <w:sz w:val="32"/>
      <w:szCs w:val="32"/>
    </w:rPr>
  </w:style>
  <w:style w:type="paragraph" w:customStyle="1" w:styleId="27">
    <w:name w:val="列出段落11"/>
    <w:basedOn w:val="1"/>
    <w:qFormat/>
    <w:uiPriority w:val="34"/>
    <w:rPr>
      <w:rFonts w:ascii="Times New Roman" w:hAnsi="Times New Roman" w:eastAsia="宋体" w:cs="Times New Roman"/>
      <w:szCs w:val="20"/>
    </w:rPr>
  </w:style>
  <w:style w:type="character" w:customStyle="1" w:styleId="28">
    <w:name w:val="标题 1 字符"/>
    <w:basedOn w:val="19"/>
    <w:link w:val="2"/>
    <w:uiPriority w:val="9"/>
    <w:rPr>
      <w:rFonts w:ascii="微软雅黑" w:hAnsi="微软雅黑" w:eastAsia="微软雅黑"/>
      <w:b/>
      <w:bCs/>
      <w:color w:val="F0463C"/>
      <w:kern w:val="44"/>
      <w:sz w:val="44"/>
      <w:szCs w:val="44"/>
    </w:rPr>
  </w:style>
  <w:style w:type="paragraph" w:styleId="29">
    <w:name w:val="List Paragraph"/>
    <w:basedOn w:val="1"/>
    <w:link w:val="34"/>
    <w:qFormat/>
    <w:uiPriority w:val="99"/>
    <w:pPr>
      <w:ind w:firstLine="420" w:firstLineChars="200"/>
    </w:pPr>
  </w:style>
  <w:style w:type="paragraph" w:customStyle="1" w:styleId="30">
    <w:name w:val="普通正文"/>
    <w:basedOn w:val="1"/>
    <w:link w:val="32"/>
    <w:qFormat/>
    <w:uiPriority w:val="0"/>
    <w:pPr>
      <w:spacing w:line="420" w:lineRule="exact"/>
      <w:ind w:firstLine="471"/>
    </w:pPr>
    <w:rPr>
      <w:rFonts w:cs="微软雅黑"/>
      <w:color w:val="000000" w:themeColor="text1"/>
      <w:sz w:val="24"/>
      <w:szCs w:val="21"/>
      <w14:textFill>
        <w14:solidFill>
          <w14:schemeClr w14:val="tx1"/>
        </w14:solidFill>
      </w14:textFill>
    </w:rPr>
  </w:style>
  <w:style w:type="paragraph" w:customStyle="1" w:styleId="31">
    <w:name w:val="符号正文"/>
    <w:basedOn w:val="29"/>
    <w:link w:val="35"/>
    <w:qFormat/>
    <w:uiPriority w:val="0"/>
    <w:pPr>
      <w:numPr>
        <w:ilvl w:val="0"/>
        <w:numId w:val="2"/>
      </w:numPr>
      <w:spacing w:line="240" w:lineRule="auto"/>
      <w:ind w:firstLine="0" w:firstLineChars="0"/>
    </w:pPr>
    <w:rPr>
      <w:rFonts w:eastAsia="微软雅黑" w:cs="微软雅黑"/>
      <w:sz w:val="24"/>
      <w:szCs w:val="21"/>
    </w:rPr>
  </w:style>
  <w:style w:type="character" w:customStyle="1" w:styleId="32">
    <w:name w:val="普通正文 字符"/>
    <w:basedOn w:val="19"/>
    <w:link w:val="30"/>
    <w:qFormat/>
    <w:uiPriority w:val="0"/>
    <w:rPr>
      <w:rFonts w:ascii="思源黑体 CN Regular" w:hAnsi="思源黑体 CN Regular" w:eastAsia="思源黑体 CN Regular" w:cs="微软雅黑"/>
      <w:color w:val="000000" w:themeColor="text1"/>
      <w:kern w:val="2"/>
      <w:sz w:val="24"/>
      <w:szCs w:val="21"/>
      <w14:textFill>
        <w14:solidFill>
          <w14:schemeClr w14:val="tx1"/>
        </w14:solidFill>
      </w14:textFill>
    </w:rPr>
  </w:style>
  <w:style w:type="paragraph" w:customStyle="1" w:styleId="33">
    <w:name w:val="二级标题1"/>
    <w:basedOn w:val="3"/>
    <w:next w:val="30"/>
    <w:link w:val="37"/>
    <w:qFormat/>
    <w:uiPriority w:val="0"/>
    <w:pPr>
      <w:numPr>
        <w:numId w:val="3"/>
      </w:numPr>
      <w:spacing w:line="415" w:lineRule="auto"/>
      <w:ind w:left="840"/>
    </w:pPr>
    <w:rPr>
      <w:rFonts w:ascii="思源黑体 CN Heavy" w:hAnsi="思源黑体 CN Heavy" w:eastAsia="思源黑体 CN Heavy"/>
      <w:color w:val="E6233C"/>
    </w:rPr>
  </w:style>
  <w:style w:type="character" w:customStyle="1" w:styleId="34">
    <w:name w:val="列表段落 字符"/>
    <w:basedOn w:val="19"/>
    <w:link w:val="29"/>
    <w:uiPriority w:val="99"/>
  </w:style>
  <w:style w:type="character" w:customStyle="1" w:styleId="35">
    <w:name w:val="符号正文 字符"/>
    <w:basedOn w:val="34"/>
    <w:link w:val="31"/>
    <w:uiPriority w:val="0"/>
    <w:rPr>
      <w:rFonts w:ascii="思源黑体 CN Regular" w:hAnsi="思源黑体 CN Regular" w:eastAsia="微软雅黑" w:cs="微软雅黑"/>
      <w:kern w:val="2"/>
      <w:sz w:val="24"/>
      <w:szCs w:val="21"/>
    </w:rPr>
  </w:style>
  <w:style w:type="paragraph" w:customStyle="1" w:styleId="36">
    <w:name w:val="一级标题"/>
    <w:basedOn w:val="2"/>
    <w:link w:val="39"/>
    <w:qFormat/>
    <w:uiPriority w:val="0"/>
    <w:pPr>
      <w:numPr>
        <w:ilvl w:val="0"/>
        <w:numId w:val="3"/>
      </w:numPr>
    </w:pPr>
    <w:rPr>
      <w:rFonts w:ascii="思源黑体 CN Heavy" w:hAnsi="思源黑体 CN Heavy" w:eastAsia="思源黑体 CN Heavy"/>
      <w:color w:val="E6233C"/>
    </w:rPr>
  </w:style>
  <w:style w:type="character" w:customStyle="1" w:styleId="37">
    <w:name w:val="二级标题1 Char"/>
    <w:basedOn w:val="26"/>
    <w:link w:val="33"/>
    <w:uiPriority w:val="0"/>
    <w:rPr>
      <w:rFonts w:ascii="思源黑体 CN Heavy" w:hAnsi="思源黑体 CN Heavy" w:eastAsia="思源黑体 CN Heavy" w:cstheme="majorBidi"/>
      <w:color w:val="E6233C"/>
      <w:kern w:val="2"/>
      <w:sz w:val="32"/>
      <w:szCs w:val="32"/>
    </w:rPr>
  </w:style>
  <w:style w:type="paragraph" w:customStyle="1" w:styleId="38">
    <w:name w:val="三级标题"/>
    <w:basedOn w:val="30"/>
    <w:link w:val="40"/>
    <w:uiPriority w:val="0"/>
    <w:pPr>
      <w:ind w:firstLine="0"/>
      <w:outlineLvl w:val="2"/>
    </w:pPr>
    <w:rPr>
      <w:b/>
      <w:color w:val="F0463C"/>
    </w:rPr>
  </w:style>
  <w:style w:type="character" w:customStyle="1" w:styleId="39">
    <w:name w:val="一级标题 字符"/>
    <w:basedOn w:val="28"/>
    <w:link w:val="36"/>
    <w:uiPriority w:val="0"/>
    <w:rPr>
      <w:rFonts w:ascii="思源黑体 CN Heavy" w:hAnsi="思源黑体 CN Heavy" w:eastAsia="思源黑体 CN Heavy"/>
      <w:color w:val="E6233C"/>
      <w:kern w:val="44"/>
      <w:sz w:val="44"/>
      <w:szCs w:val="44"/>
    </w:rPr>
  </w:style>
  <w:style w:type="character" w:customStyle="1" w:styleId="40">
    <w:name w:val="三级标题 字符"/>
    <w:basedOn w:val="32"/>
    <w:link w:val="38"/>
    <w:uiPriority w:val="0"/>
    <w:rPr>
      <w:rFonts w:ascii="微软雅黑" w:hAnsi="微软雅黑" w:eastAsia="微软雅黑" w:cs="微软雅黑"/>
      <w:b/>
      <w:color w:val="F0463C"/>
      <w:kern w:val="2"/>
      <w:sz w:val="24"/>
      <w:szCs w:val="21"/>
    </w:rPr>
  </w:style>
  <w:style w:type="character" w:customStyle="1" w:styleId="41">
    <w:name w:val="页眉 字符"/>
    <w:basedOn w:val="19"/>
    <w:link w:val="11"/>
    <w:qFormat/>
    <w:uiPriority w:val="99"/>
    <w:rPr>
      <w:sz w:val="18"/>
      <w:szCs w:val="18"/>
    </w:rPr>
  </w:style>
  <w:style w:type="character" w:customStyle="1" w:styleId="42">
    <w:name w:val="页脚 字符"/>
    <w:basedOn w:val="19"/>
    <w:link w:val="10"/>
    <w:qFormat/>
    <w:uiPriority w:val="99"/>
    <w:rPr>
      <w:sz w:val="18"/>
      <w:szCs w:val="18"/>
    </w:rPr>
  </w:style>
  <w:style w:type="paragraph" w:customStyle="1" w:styleId="43">
    <w:name w:val="三级标题1"/>
    <w:basedOn w:val="38"/>
    <w:link w:val="44"/>
    <w:qFormat/>
    <w:uiPriority w:val="0"/>
    <w:pPr>
      <w:numPr>
        <w:ilvl w:val="2"/>
        <w:numId w:val="4"/>
      </w:numPr>
    </w:pPr>
  </w:style>
  <w:style w:type="character" w:customStyle="1" w:styleId="44">
    <w:name w:val="三级标题1 字符"/>
    <w:basedOn w:val="40"/>
    <w:link w:val="43"/>
    <w:qFormat/>
    <w:uiPriority w:val="0"/>
    <w:rPr>
      <w:rFonts w:ascii="思源黑体 CN Regular" w:hAnsi="思源黑体 CN Regular" w:eastAsia="思源黑体 CN Regular" w:cs="微软雅黑"/>
      <w:color w:val="F0463C"/>
      <w:kern w:val="2"/>
      <w:sz w:val="24"/>
      <w:szCs w:val="21"/>
    </w:rPr>
  </w:style>
  <w:style w:type="paragraph" w:customStyle="1" w:styleId="45">
    <w:name w:val="11"/>
    <w:basedOn w:val="1"/>
    <w:qFormat/>
    <w:uiPriority w:val="0"/>
    <w:pPr>
      <w:widowControl/>
      <w:spacing w:before="100" w:beforeAutospacing="1" w:after="100" w:afterAutospacing="1"/>
      <w:jc w:val="left"/>
    </w:pPr>
    <w:rPr>
      <w:rFonts w:ascii="宋体" w:hAnsi="宋体" w:eastAsia="宋体" w:cs="宋体"/>
      <w:kern w:val="0"/>
      <w:sz w:val="24"/>
      <w:szCs w:val="24"/>
    </w:rPr>
  </w:style>
  <w:style w:type="character" w:customStyle="1" w:styleId="46">
    <w:name w:val="inline-comment-marker"/>
    <w:basedOn w:val="19"/>
    <w:qFormat/>
    <w:uiPriority w:val="0"/>
  </w:style>
  <w:style w:type="paragraph" w:customStyle="1" w:styleId="47">
    <w:name w:val="规则"/>
    <w:basedOn w:val="48"/>
    <w:link w:val="49"/>
    <w:uiPriority w:val="0"/>
    <w:pPr>
      <w:numPr>
        <w:ilvl w:val="0"/>
        <w:numId w:val="5"/>
      </w:numPr>
    </w:pPr>
    <w:rPr>
      <w:rFonts w:cs="Arial"/>
      <w14:scene3d>
        <w14:lightRig w14:rig="threePt" w14:dir="t">
          <w14:rot w14:lat="0" w14:lon="0" w14:rev="0"/>
        </w14:lightRig>
      </w14:scene3d>
    </w:rPr>
  </w:style>
  <w:style w:type="paragraph" w:customStyle="1" w:styleId="48">
    <w:name w:val="技术规范"/>
    <w:basedOn w:val="1"/>
    <w:link w:val="64"/>
    <w:qFormat/>
    <w:uiPriority w:val="0"/>
    <w:pPr>
      <w:numPr>
        <w:ilvl w:val="0"/>
        <w:numId w:val="6"/>
      </w:numPr>
      <w:spacing w:line="420" w:lineRule="exact"/>
      <w:ind w:left="0" w:firstLine="200" w:firstLineChars="200"/>
    </w:pPr>
    <w:rPr>
      <w:rFonts w:cs="微软雅黑"/>
      <w:sz w:val="24"/>
      <w:szCs w:val="21"/>
      <w:lang w:val="en-GB"/>
    </w:rPr>
  </w:style>
  <w:style w:type="character" w:customStyle="1" w:styleId="49">
    <w:name w:val="规则 Char1"/>
    <w:basedOn w:val="19"/>
    <w:link w:val="47"/>
    <w:qFormat/>
    <w:uiPriority w:val="0"/>
    <w:rPr>
      <w:rFonts w:ascii="思源黑体 CN Regular" w:hAnsi="思源黑体 CN Regular" w:eastAsia="思源黑体 CN Regular" w:cs="Arial"/>
      <w:kern w:val="2"/>
      <w:sz w:val="24"/>
      <w:szCs w:val="21"/>
      <w:lang w:val="en-GB"/>
      <w14:scene3d>
        <w14:lightRig w14:rig="threePt" w14:dir="t">
          <w14:rot w14:lat="0" w14:lon="0" w14:rev="0"/>
        </w14:lightRig>
      </w14:scene3d>
    </w:rPr>
  </w:style>
  <w:style w:type="character" w:customStyle="1" w:styleId="50">
    <w:name w:val="批注框文本 字符"/>
    <w:basedOn w:val="19"/>
    <w:link w:val="9"/>
    <w:semiHidden/>
    <w:qFormat/>
    <w:uiPriority w:val="99"/>
    <w:rPr>
      <w:sz w:val="18"/>
      <w:szCs w:val="18"/>
    </w:rPr>
  </w:style>
  <w:style w:type="character" w:customStyle="1" w:styleId="51">
    <w:name w:val="不明显强调1"/>
    <w:basedOn w:val="19"/>
    <w:qFormat/>
    <w:uiPriority w:val="19"/>
    <w:rPr>
      <w:i/>
      <w:iCs/>
      <w:color w:val="404040" w:themeColor="text1" w:themeTint="BF"/>
      <w14:textFill>
        <w14:solidFill>
          <w14:schemeClr w14:val="tx1">
            <w14:lumMod w14:val="75000"/>
            <w14:lumOff w14:val="25000"/>
          </w14:schemeClr>
        </w14:solidFill>
      </w14:textFill>
    </w:rPr>
  </w:style>
  <w:style w:type="character" w:customStyle="1" w:styleId="52">
    <w:name w:val="批注文字 字符"/>
    <w:basedOn w:val="19"/>
    <w:link w:val="7"/>
    <w:autoRedefine/>
    <w:semiHidden/>
    <w:qFormat/>
    <w:uiPriority w:val="99"/>
  </w:style>
  <w:style w:type="character" w:customStyle="1" w:styleId="53">
    <w:name w:val="批注主题 字符"/>
    <w:basedOn w:val="52"/>
    <w:link w:val="16"/>
    <w:semiHidden/>
    <w:uiPriority w:val="99"/>
    <w:rPr>
      <w:b/>
      <w:bCs/>
    </w:rPr>
  </w:style>
  <w:style w:type="paragraph" w:customStyle="1" w:styleId="54">
    <w:name w:val="任务"/>
    <w:basedOn w:val="48"/>
    <w:link w:val="55"/>
    <w:autoRedefine/>
    <w:qFormat/>
    <w:uiPriority w:val="0"/>
    <w:pPr>
      <w:numPr>
        <w:ilvl w:val="0"/>
        <w:numId w:val="7"/>
      </w:numPr>
    </w:pPr>
    <w:rPr>
      <w:rFonts w:ascii="思源黑体 CN Heavy" w:hAnsi="思源黑体 CN Heavy" w:eastAsia="思源黑体 CN Heavy"/>
      <w:b/>
      <w14:scene3d>
        <w14:lightRig w14:rig="threePt" w14:dir="t">
          <w14:rot w14:lat="0" w14:lon="0" w14:rev="0"/>
        </w14:lightRig>
      </w14:scene3d>
    </w:rPr>
  </w:style>
  <w:style w:type="character" w:customStyle="1" w:styleId="55">
    <w:name w:val="任务 Char"/>
    <w:basedOn w:val="19"/>
    <w:link w:val="54"/>
    <w:uiPriority w:val="0"/>
    <w:rPr>
      <w:rFonts w:ascii="思源黑体 CN Heavy" w:hAnsi="思源黑体 CN Heavy" w:eastAsia="思源黑体 CN Heavy" w:cs="微软雅黑"/>
      <w:b/>
      <w:kern w:val="2"/>
      <w:sz w:val="24"/>
      <w:szCs w:val="21"/>
      <w:lang w:val="en-GB"/>
      <w14:scene3d>
        <w14:lightRig w14:rig="threePt" w14:dir="t">
          <w14:rot w14:lat="0" w14:lon="0" w14:rev="0"/>
        </w14:lightRig>
      </w14:scene3d>
    </w:rPr>
  </w:style>
  <w:style w:type="paragraph" w:customStyle="1" w:styleId="56">
    <w:name w:val="Default"/>
    <w:autoRedefine/>
    <w:qFormat/>
    <w:uiPriority w:val="0"/>
    <w:pPr>
      <w:widowControl w:val="0"/>
      <w:autoSpaceDE w:val="0"/>
      <w:autoSpaceDN w:val="0"/>
      <w:adjustRightInd w:val="0"/>
    </w:pPr>
    <w:rPr>
      <w:rFonts w:ascii="微软雅黑" w:eastAsia="微软雅黑" w:cs="微软雅黑" w:hAnsiTheme="minorHAnsi"/>
      <w:color w:val="000000"/>
      <w:sz w:val="24"/>
      <w:szCs w:val="24"/>
      <w:lang w:val="en-US" w:eastAsia="zh-CN" w:bidi="ar-SA"/>
    </w:rPr>
  </w:style>
  <w:style w:type="character" w:customStyle="1" w:styleId="57">
    <w:name w:val="标题 3 字符"/>
    <w:basedOn w:val="19"/>
    <w:link w:val="4"/>
    <w:semiHidden/>
    <w:uiPriority w:val="9"/>
    <w:rPr>
      <w:rFonts w:asciiTheme="majorHAnsi" w:hAnsiTheme="majorHAnsi" w:eastAsiaTheme="majorEastAsia" w:cstheme="majorBidi"/>
      <w:color w:val="1F4E79" w:themeColor="accent1" w:themeShade="80"/>
      <w:sz w:val="24"/>
      <w:szCs w:val="24"/>
    </w:rPr>
  </w:style>
  <w:style w:type="character" w:customStyle="1" w:styleId="58">
    <w:name w:val="标题 5 字符"/>
    <w:basedOn w:val="19"/>
    <w:link w:val="6"/>
    <w:autoRedefine/>
    <w:semiHidden/>
    <w:qFormat/>
    <w:uiPriority w:val="9"/>
    <w:rPr>
      <w:rFonts w:asciiTheme="majorHAnsi" w:hAnsiTheme="majorHAnsi" w:eastAsiaTheme="majorEastAsia" w:cstheme="majorBidi"/>
      <w:color w:val="2E75B6" w:themeColor="accent1" w:themeShade="BF"/>
    </w:rPr>
  </w:style>
  <w:style w:type="paragraph" w:customStyle="1" w:styleId="59">
    <w:name w:val="a"/>
    <w:basedOn w:val="1"/>
    <w:uiPriority w:val="0"/>
    <w:pPr>
      <w:widowControl/>
      <w:spacing w:before="100" w:beforeAutospacing="1" w:after="100" w:afterAutospacing="1"/>
      <w:jc w:val="left"/>
    </w:pPr>
    <w:rPr>
      <w:rFonts w:ascii="Times New Roman" w:hAnsi="Times New Roman" w:cs="Times New Roman"/>
      <w:kern w:val="0"/>
      <w:sz w:val="24"/>
      <w:szCs w:val="24"/>
      <w:lang w:val="en-GB"/>
    </w:rPr>
  </w:style>
  <w:style w:type="character" w:customStyle="1" w:styleId="60">
    <w:name w:val="ql-author-14022863"/>
    <w:basedOn w:val="19"/>
    <w:autoRedefine/>
    <w:qFormat/>
    <w:uiPriority w:val="0"/>
  </w:style>
  <w:style w:type="character" w:customStyle="1" w:styleId="61">
    <w:name w:val="ql-author-13496091"/>
    <w:basedOn w:val="19"/>
    <w:autoRedefine/>
    <w:qFormat/>
    <w:uiPriority w:val="0"/>
  </w:style>
  <w:style w:type="character" w:customStyle="1" w:styleId="62">
    <w:name w:val="ql-author-15805597"/>
    <w:basedOn w:val="19"/>
    <w:uiPriority w:val="0"/>
  </w:style>
  <w:style w:type="paragraph" w:styleId="63">
    <w:name w:val="No Spacing"/>
    <w:basedOn w:val="43"/>
    <w:autoRedefine/>
    <w:qFormat/>
    <w:uiPriority w:val="1"/>
    <w:pPr>
      <w:numPr>
        <w:ilvl w:val="0"/>
        <w:numId w:val="0"/>
      </w:numPr>
    </w:pPr>
    <w:rPr>
      <w:rFonts w:ascii="思源黑体 CN Heavy" w:hAnsi="思源黑体 CN Heavy" w:eastAsia="思源黑体 CN Heavy"/>
      <w:color w:val="2E75B6" w:themeColor="accent1" w:themeShade="BF"/>
    </w:rPr>
  </w:style>
  <w:style w:type="character" w:customStyle="1" w:styleId="64">
    <w:name w:val="技术规范 Char"/>
    <w:basedOn w:val="19"/>
    <w:link w:val="48"/>
    <w:autoRedefine/>
    <w:qFormat/>
    <w:uiPriority w:val="0"/>
    <w:rPr>
      <w:rFonts w:ascii="思源黑体 CN Regular" w:hAnsi="思源黑体 CN Regular" w:eastAsia="思源黑体 CN Regular" w:cs="微软雅黑"/>
      <w:kern w:val="2"/>
      <w:sz w:val="24"/>
      <w:szCs w:val="21"/>
      <w:lang w:val="en-GB"/>
    </w:rPr>
  </w:style>
  <w:style w:type="character" w:customStyle="1" w:styleId="65">
    <w:name w:val="标题 4 字符"/>
    <w:basedOn w:val="19"/>
    <w:link w:val="5"/>
    <w:autoRedefine/>
    <w:semiHidden/>
    <w:qFormat/>
    <w:uiPriority w:val="9"/>
    <w:rPr>
      <w:rFonts w:asciiTheme="majorHAnsi" w:hAnsiTheme="majorHAnsi" w:eastAsiaTheme="majorEastAsia" w:cstheme="majorBidi"/>
      <w:b/>
      <w:bCs/>
      <w:sz w:val="28"/>
      <w:szCs w:val="28"/>
    </w:rPr>
  </w:style>
  <w:style w:type="character" w:customStyle="1" w:styleId="66">
    <w:name w:val="解释 Char"/>
    <w:basedOn w:val="35"/>
    <w:link w:val="67"/>
    <w:autoRedefine/>
    <w:qFormat/>
    <w:uiPriority w:val="0"/>
    <w:rPr>
      <w:rFonts w:ascii="微软雅黑" w:hAnsi="微软雅黑" w:eastAsia="微软雅黑" w:cs="微软雅黑"/>
      <w:kern w:val="2"/>
      <w:sz w:val="24"/>
      <w:szCs w:val="21"/>
    </w:rPr>
  </w:style>
  <w:style w:type="paragraph" w:customStyle="1" w:styleId="67">
    <w:name w:val="解释"/>
    <w:basedOn w:val="31"/>
    <w:link w:val="66"/>
    <w:autoRedefine/>
    <w:qFormat/>
    <w:uiPriority w:val="0"/>
    <w:pPr>
      <w:numPr>
        <w:numId w:val="0"/>
      </w:numPr>
      <w:ind w:left="1271" w:hanging="420"/>
    </w:pPr>
    <w:rPr>
      <w:rFonts w:ascii="微软雅黑" w:hAnsi="微软雅黑"/>
    </w:rPr>
  </w:style>
  <w:style w:type="character" w:customStyle="1" w:styleId="68">
    <w:name w:val="规则 Char"/>
    <w:basedOn w:val="32"/>
    <w:autoRedefine/>
    <w:qFormat/>
    <w:uiPriority w:val="0"/>
    <w:rPr>
      <w:rFonts w:ascii="微软雅黑" w:hAnsi="微软雅黑" w:eastAsia="微软雅黑" w:cs="微软雅黑"/>
      <w:color w:val="000000" w:themeColor="text1"/>
      <w:kern w:val="2"/>
      <w:sz w:val="24"/>
      <w:szCs w:val="21"/>
      <w14:textFill>
        <w14:solidFill>
          <w14:schemeClr w14:val="tx1"/>
        </w14:solidFill>
      </w14:textFill>
    </w:rPr>
  </w:style>
  <w:style w:type="paragraph" w:customStyle="1" w:styleId="69">
    <w:name w:val="修订1"/>
    <w:autoRedefine/>
    <w:hidden/>
    <w:semiHidden/>
    <w:qFormat/>
    <w:uiPriority w:val="99"/>
    <w:rPr>
      <w:rFonts w:asciiTheme="minorHAnsi" w:hAnsiTheme="minorHAnsi" w:eastAsiaTheme="minorEastAsia" w:cstheme="minorBidi"/>
      <w:kern w:val="2"/>
      <w:sz w:val="21"/>
      <w:szCs w:val="22"/>
      <w:lang w:val="en-US" w:eastAsia="zh-CN" w:bidi="ar-SA"/>
    </w:rPr>
  </w:style>
  <w:style w:type="table" w:customStyle="1" w:styleId="70">
    <w:name w:val="网格表 5 深色 - 着色 51"/>
    <w:basedOn w:val="17"/>
    <w:autoRedefine/>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5"/>
      </w:tcPr>
    </w:tblStylePr>
    <w:tblStylePr w:type="band1Vert">
      <w:tcPr>
        <w:shd w:val="clear" w:color="auto" w:fill="B4C6E7" w:themeFill="accent5" w:themeFillTint="66"/>
      </w:tcPr>
    </w:tblStylePr>
    <w:tblStylePr w:type="band1Horz">
      <w:tcPr>
        <w:shd w:val="clear" w:color="auto" w:fill="B4C6E7" w:themeFill="accent5" w:themeFillTint="66"/>
      </w:tcPr>
    </w:tblStylePr>
  </w:style>
  <w:style w:type="table" w:customStyle="1" w:styleId="71">
    <w:name w:val="无格式表格 31"/>
    <w:basedOn w:val="17"/>
    <w:autoRedefine/>
    <w:qFormat/>
    <w:uiPriority w:val="43"/>
    <w:tblStylePr w:type="firstRow">
      <w:rPr>
        <w:b/>
        <w:bCs/>
        <w:caps/>
      </w:rPr>
      <w:tcPr>
        <w:tcBorders>
          <w:bottom w:val="single" w:color="7E7E7E" w:themeColor="text1" w:themeTint="80" w:sz="4" w:space="0"/>
        </w:tcBorders>
      </w:tcPr>
    </w:tblStylePr>
    <w:tblStylePr w:type="lastRow">
      <w:rPr>
        <w:b/>
        <w:bCs/>
        <w:caps/>
      </w:rPr>
      <w:tcPr>
        <w:tcBorders>
          <w:top w:val="nil"/>
        </w:tcBorders>
      </w:tcPr>
    </w:tblStylePr>
    <w:tblStylePr w:type="firstCol">
      <w:rPr>
        <w:b/>
        <w:bCs/>
        <w:caps/>
      </w:rPr>
      <w:tcPr>
        <w:tcBorders>
          <w:right w:val="single" w:color="7E7E7E" w:themeColor="text1" w:themeTint="80" w:sz="4" w:space="0"/>
        </w:tcBorders>
      </w:tcPr>
    </w:tblStylePr>
    <w:tblStylePr w:type="lastCol">
      <w:rPr>
        <w:b/>
        <w:bCs/>
        <w:caps/>
      </w:rPr>
      <w:tcPr>
        <w:tcBorders>
          <w:left w:val="nil"/>
        </w:tcBorders>
      </w:tcPr>
    </w:tblStylePr>
    <w:tblStylePr w:type="band1Vert">
      <w:tcPr>
        <w:shd w:val="clear" w:color="auto" w:fill="F1F1F1" w:themeFill="background1" w:themeFillShade="F2"/>
      </w:tcPr>
    </w:tblStylePr>
    <w:tblStylePr w:type="band1Horz">
      <w:tcPr>
        <w:shd w:val="clear" w:color="auto" w:fill="F1F1F1" w:themeFill="background1" w:themeFillShade="F2"/>
      </w:tcPr>
    </w:tblStylePr>
    <w:tblStylePr w:type="neCell">
      <w:tcPr>
        <w:tcBorders>
          <w:left w:val="nil"/>
        </w:tcBorders>
      </w:tcPr>
    </w:tblStylePr>
    <w:tblStylePr w:type="nwCell">
      <w:tcPr>
        <w:tcBorders>
          <w:right w:val="nil"/>
        </w:tcBorders>
      </w:tcPr>
    </w:tblStylePr>
  </w:style>
  <w:style w:type="table" w:customStyle="1" w:styleId="72">
    <w:name w:val="清单表 7 彩色 - 着色 21"/>
    <w:basedOn w:val="17"/>
    <w:autoRedefine/>
    <w:qFormat/>
    <w:uiPriority w:val="52"/>
    <w:rPr>
      <w:color w:val="C55A11" w:themeColor="accent2" w:themeShade="BF"/>
    </w:rPr>
    <w:tblStylePr w:type="firstRow">
      <w:rPr>
        <w:rFonts w:asciiTheme="majorHAnsi" w:hAnsiTheme="majorHAnsi" w:eastAsiaTheme="majorEastAsia" w:cstheme="majorBidi"/>
        <w:i/>
        <w:iCs/>
        <w:sz w:val="26"/>
      </w:rPr>
      <w:tcPr>
        <w:tcBorders>
          <w:bottom w:val="single" w:color="ED7D31" w:themeColor="accent2" w:sz="4" w:space="0"/>
        </w:tcBorders>
        <w:shd w:val="clear" w:color="auto" w:fill="FFFFFF" w:themeFill="background1"/>
      </w:tcPr>
    </w:tblStylePr>
    <w:tblStylePr w:type="lastRow">
      <w:rPr>
        <w:rFonts w:asciiTheme="majorHAnsi" w:hAnsiTheme="majorHAnsi" w:eastAsiaTheme="majorEastAsia" w:cstheme="majorBidi"/>
        <w:i/>
        <w:iCs/>
        <w:sz w:val="26"/>
      </w:rPr>
      <w:tcPr>
        <w:tcBorders>
          <w:top w:val="single" w:color="ED7D31" w:themeColor="accent2" w:sz="4" w:space="0"/>
        </w:tcBorders>
        <w:shd w:val="clear" w:color="auto" w:fill="FFFFFF" w:themeFill="background1"/>
      </w:tcPr>
    </w:tblStylePr>
    <w:tblStylePr w:type="firstCol">
      <w:pPr>
        <w:jc w:val="right"/>
      </w:pPr>
      <w:rPr>
        <w:rFonts w:asciiTheme="majorHAnsi" w:hAnsiTheme="majorHAnsi" w:eastAsiaTheme="majorEastAsia" w:cstheme="majorBidi"/>
        <w:i/>
        <w:iCs/>
        <w:sz w:val="26"/>
      </w:rPr>
      <w:tcPr>
        <w:tcBorders>
          <w:right w:val="single" w:color="ED7D31" w:themeColor="accent2" w:sz="4" w:space="0"/>
        </w:tcBorders>
        <w:shd w:val="clear" w:color="auto" w:fill="FFFFFF" w:themeFill="background1"/>
      </w:tcPr>
    </w:tblStylePr>
    <w:tblStylePr w:type="lastCol">
      <w:rPr>
        <w:rFonts w:asciiTheme="majorHAnsi" w:hAnsiTheme="majorHAnsi" w:eastAsiaTheme="majorEastAsia" w:cstheme="majorBidi"/>
        <w:i/>
        <w:iCs/>
        <w:sz w:val="26"/>
      </w:rPr>
      <w:tcPr>
        <w:tcBorders>
          <w:left w:val="single" w:color="ED7D31" w:themeColor="accent2" w:sz="4" w:space="0"/>
        </w:tcBorders>
        <w:shd w:val="clear" w:color="auto" w:fill="FFFFFF" w:themeFill="background1"/>
      </w:tcPr>
    </w:tblStylePr>
    <w:tblStylePr w:type="band1Vert">
      <w:tcPr>
        <w:shd w:val="clear" w:color="auto" w:fill="FBE4D5" w:themeFill="accent2" w:themeFillTint="33"/>
      </w:tcPr>
    </w:tblStylePr>
    <w:tblStylePr w:type="band1Horz">
      <w:tcPr>
        <w:shd w:val="clear" w:color="auto" w:fill="FBE4D5" w:themeFill="accent2" w:themeFillTint="33"/>
      </w:tcPr>
    </w:tblStylePr>
    <w:tblStylePr w:type="neCell">
      <w:tcPr>
        <w:tcBorders>
          <w:left w:val="nil"/>
        </w:tcBorders>
      </w:tcPr>
    </w:tblStylePr>
    <w:tblStylePr w:type="nwCell">
      <w:tcPr>
        <w:tcBorders>
          <w:right w:val="nil"/>
        </w:tcBorders>
      </w:tcPr>
    </w:tblStylePr>
    <w:tblStylePr w:type="seCell">
      <w:tcPr>
        <w:tcBorders>
          <w:left w:val="nil"/>
        </w:tcBorders>
      </w:tcPr>
    </w:tblStylePr>
    <w:tblStylePr w:type="swCell">
      <w:tcPr>
        <w:tcBorders>
          <w:right w:val="nil"/>
        </w:tcBorders>
      </w:tcPr>
    </w:tblStylePr>
  </w:style>
  <w:style w:type="paragraph" w:customStyle="1" w:styleId="73">
    <w:name w:val="标题1"/>
    <w:basedOn w:val="1"/>
    <w:link w:val="74"/>
    <w:autoRedefine/>
    <w:qFormat/>
    <w:uiPriority w:val="0"/>
    <w:pPr>
      <w:spacing w:line="240" w:lineRule="auto"/>
      <w:jc w:val="center"/>
    </w:pPr>
    <w:rPr>
      <w:b/>
      <w:sz w:val="52"/>
      <w:szCs w:val="44"/>
    </w:rPr>
  </w:style>
  <w:style w:type="character" w:customStyle="1" w:styleId="74">
    <w:name w:val="标题 Char"/>
    <w:basedOn w:val="19"/>
    <w:link w:val="73"/>
    <w:autoRedefine/>
    <w:qFormat/>
    <w:uiPriority w:val="0"/>
    <w:rPr>
      <w:rFonts w:ascii="思源黑体 CN Regular" w:hAnsi="思源黑体 CN Regular" w:eastAsia="思源黑体 CN Regular"/>
      <w:b/>
      <w:sz w:val="52"/>
      <w:szCs w:val="44"/>
    </w:rPr>
  </w:style>
  <w:style w:type="character" w:customStyle="1" w:styleId="75">
    <w:name w:val="脚注文本 字符"/>
    <w:basedOn w:val="19"/>
    <w:link w:val="13"/>
    <w:autoRedefine/>
    <w:semiHidden/>
    <w:qFormat/>
    <w:uiPriority w:val="99"/>
    <w:rPr>
      <w:rFonts w:ascii="思源黑体 CN Regular" w:hAnsi="思源黑体 CN Regular"/>
      <w:sz w:val="20"/>
      <w:szCs w:val="20"/>
    </w:rPr>
  </w:style>
  <w:style w:type="character" w:customStyle="1" w:styleId="76">
    <w:name w:val="未处理的提及1"/>
    <w:basedOn w:val="19"/>
    <w:autoRedefine/>
    <w:semiHidden/>
    <w:unhideWhenUsed/>
    <w:qFormat/>
    <w:uiPriority w:val="99"/>
    <w:rPr>
      <w:color w:val="605E5C"/>
      <w:shd w:val="clear" w:color="auto" w:fill="E1DFDD"/>
    </w:rPr>
  </w:style>
  <w:style w:type="character" w:customStyle="1" w:styleId="77">
    <w:name w:val="三级标题1 Char"/>
    <w:basedOn w:val="40"/>
    <w:uiPriority w:val="0"/>
    <w:rPr>
      <w:rFonts w:ascii="思源黑体 CN Regular" w:hAnsi="思源黑体 CN Regular" w:eastAsia="思源黑体 CN Heavy" w:cs="微软雅黑"/>
      <w:color w:val="2E75B6" w:themeColor="accent1" w:themeShade="BF"/>
      <w:kern w:val="2"/>
      <w:sz w:val="24"/>
      <w:szCs w:val="21"/>
    </w:rPr>
  </w:style>
  <w:style w:type="paragraph" w:customStyle="1" w:styleId="78">
    <w:name w:val="目录"/>
    <w:basedOn w:val="1"/>
    <w:link w:val="80"/>
    <w:qFormat/>
    <w:uiPriority w:val="0"/>
    <w:pPr>
      <w:widowControl/>
      <w:spacing w:line="240" w:lineRule="auto"/>
      <w:jc w:val="center"/>
    </w:pPr>
    <w:rPr>
      <w:rFonts w:ascii="思源黑体 CN Heavy" w:hAnsi="思源黑体 CN Heavy" w:eastAsia="思源黑体 CN Heavy" w:cs="微软雅黑"/>
      <w:b/>
      <w:color w:val="E6233C"/>
      <w:sz w:val="44"/>
      <w:szCs w:val="44"/>
    </w:rPr>
  </w:style>
  <w:style w:type="paragraph" w:customStyle="1" w:styleId="79">
    <w:name w:val="一级 标题"/>
    <w:basedOn w:val="36"/>
    <w:link w:val="82"/>
    <w:autoRedefine/>
    <w:qFormat/>
    <w:uiPriority w:val="0"/>
  </w:style>
  <w:style w:type="character" w:customStyle="1" w:styleId="80">
    <w:name w:val="目录 Char"/>
    <w:basedOn w:val="19"/>
    <w:link w:val="78"/>
    <w:autoRedefine/>
    <w:qFormat/>
    <w:uiPriority w:val="0"/>
    <w:rPr>
      <w:rFonts w:ascii="思源黑体 CN Heavy" w:hAnsi="思源黑体 CN Heavy" w:eastAsia="思源黑体 CN Heavy" w:cs="微软雅黑"/>
      <w:b/>
      <w:color w:val="E6233C"/>
      <w:sz w:val="44"/>
      <w:szCs w:val="44"/>
    </w:rPr>
  </w:style>
  <w:style w:type="paragraph" w:customStyle="1" w:styleId="81">
    <w:name w:val="二级 标题"/>
    <w:basedOn w:val="33"/>
    <w:link w:val="83"/>
    <w:qFormat/>
    <w:uiPriority w:val="0"/>
  </w:style>
  <w:style w:type="character" w:customStyle="1" w:styleId="82">
    <w:name w:val="一级 标题 Char"/>
    <w:basedOn w:val="39"/>
    <w:link w:val="79"/>
    <w:uiPriority w:val="0"/>
    <w:rPr>
      <w:rFonts w:ascii="思源黑体 CN Heavy" w:hAnsi="思源黑体 CN Heavy" w:eastAsia="思源黑体 CN Heavy"/>
      <w:color w:val="E6233C"/>
      <w:kern w:val="44"/>
      <w:sz w:val="44"/>
      <w:szCs w:val="44"/>
    </w:rPr>
  </w:style>
  <w:style w:type="character" w:customStyle="1" w:styleId="83">
    <w:name w:val="二级 标题 Char"/>
    <w:basedOn w:val="37"/>
    <w:link w:val="81"/>
    <w:uiPriority w:val="0"/>
    <w:rPr>
      <w:rFonts w:ascii="思源黑体 CN Heavy" w:hAnsi="思源黑体 CN Heavy" w:eastAsia="思源黑体 CN Heavy" w:cstheme="majorBidi"/>
      <w:color w:val="E6233C"/>
      <w:kern w:val="2"/>
      <w:sz w:val="32"/>
      <w:szCs w:val="32"/>
    </w:rPr>
  </w:style>
  <w:style w:type="table" w:customStyle="1" w:styleId="84">
    <w:name w:val="网格表 4 - 着色 31"/>
    <w:basedOn w:val="17"/>
    <w:uiPriority w:val="49"/>
    <w:rPr>
      <w:rFonts w:ascii="Times New Roman" w:hAnsi="Times New Roman" w:eastAsia="宋体" w:cs="Times New Roman"/>
    </w:rPr>
    <w:tblPr>
      <w:tblBorders>
        <w:top w:val="single" w:color="C8C8C8" w:themeColor="accent3" w:themeTint="99" w:sz="4" w:space="0"/>
        <w:left w:val="single" w:color="C8C8C8" w:themeColor="accent3" w:themeTint="99" w:sz="4" w:space="0"/>
        <w:bottom w:val="single" w:color="C8C8C8" w:themeColor="accent3" w:themeTint="99" w:sz="4" w:space="0"/>
        <w:right w:val="single" w:color="C8C8C8" w:themeColor="accent3" w:themeTint="99" w:sz="4" w:space="0"/>
        <w:insideH w:val="single" w:color="C8C8C8" w:themeColor="accent3" w:themeTint="99" w:sz="4" w:space="0"/>
        <w:insideV w:val="single" w:color="C8C8C8" w:themeColor="accent3" w:themeTint="99" w:sz="4" w:space="0"/>
      </w:tblBorders>
    </w:tblPr>
    <w:tblStylePr w:type="firstRow">
      <w:rPr>
        <w:b/>
        <w:bCs/>
        <w:color w:val="FFFFFF" w:themeColor="background1"/>
        <w14:textFill>
          <w14:solidFill>
            <w14:schemeClr w14:val="bg1"/>
          </w14:solidFill>
        </w14:textFill>
      </w:rPr>
      <w:tcPr>
        <w:tcBorders>
          <w:top w:val="single" w:color="A5A5A5" w:themeColor="accent3" w:sz="4" w:space="0"/>
          <w:left w:val="single" w:color="A5A5A5" w:themeColor="accent3" w:sz="4" w:space="0"/>
          <w:bottom w:val="single" w:color="A5A5A5" w:themeColor="accent3" w:sz="4" w:space="0"/>
          <w:right w:val="single" w:color="A5A5A5" w:themeColor="accent3" w:sz="4" w:space="0"/>
          <w:insideH w:val="nil"/>
          <w:insideV w:val="nil"/>
        </w:tcBorders>
        <w:shd w:val="clear" w:color="auto" w:fill="A5A5A5" w:themeFill="accent3"/>
      </w:tcPr>
    </w:tblStylePr>
    <w:tblStylePr w:type="lastRow">
      <w:rPr>
        <w:b/>
        <w:bCs/>
      </w:rPr>
      <w:tcPr>
        <w:tcBorders>
          <w:top w:val="double" w:color="A5A5A5" w:themeColor="accent3" w:sz="4" w:space="0"/>
        </w:tcBorders>
      </w:tcPr>
    </w:tblStylePr>
    <w:tblStylePr w:type="firstCol">
      <w:rPr>
        <w:b/>
        <w:bCs/>
      </w:rPr>
    </w:tblStylePr>
    <w:tblStylePr w:type="lastCol">
      <w:rPr>
        <w:b/>
        <w:bCs/>
      </w:rPr>
    </w:tblStylePr>
    <w:tblStylePr w:type="band1Vert">
      <w:tcPr>
        <w:shd w:val="clear" w:color="auto" w:fill="ECECEC" w:themeFill="accent3" w:themeFillTint="33"/>
      </w:tcPr>
    </w:tblStylePr>
    <w:tblStylePr w:type="band1Horz">
      <w:tcPr>
        <w:shd w:val="clear" w:color="auto" w:fill="ECECEC" w:themeFill="accent3" w:themeFillTint="33"/>
      </w:tcPr>
    </w:tblStylePr>
  </w:style>
  <w:style w:type="table" w:customStyle="1" w:styleId="85">
    <w:name w:val="网格表 4 - 着色 11"/>
    <w:basedOn w:val="17"/>
    <w:qFormat/>
    <w:uiPriority w:val="49"/>
    <w:rPr>
      <w:rFonts w:ascii="Times New Roman" w:hAnsi="Times New Roman" w:eastAsia="宋体" w:cs="Times New Roman"/>
    </w:rPr>
    <w:tblPr>
      <w:tblBorders>
        <w:top w:val="single" w:color="9CC2E5" w:themeColor="accent1" w:themeTint="99" w:sz="4" w:space="0"/>
        <w:left w:val="single" w:color="9CC2E5" w:themeColor="accent1" w:themeTint="99" w:sz="4" w:space="0"/>
        <w:bottom w:val="single" w:color="9CC2E5" w:themeColor="accent1" w:themeTint="99" w:sz="4" w:space="0"/>
        <w:right w:val="single" w:color="9CC2E5" w:themeColor="accent1" w:themeTint="99" w:sz="4" w:space="0"/>
        <w:insideH w:val="single" w:color="9CC2E5" w:themeColor="accent1" w:themeTint="99" w:sz="4" w:space="0"/>
        <w:insideV w:val="single" w:color="9CC2E5" w:themeColor="accent1" w:themeTint="99" w:sz="4" w:space="0"/>
      </w:tblBorders>
    </w:tblPr>
    <w:tblStylePr w:type="firstRow">
      <w:rPr>
        <w:b/>
        <w:bCs/>
        <w:color w:val="FFFFFF" w:themeColor="background1"/>
        <w14:textFill>
          <w14:solidFill>
            <w14:schemeClr w14:val="bg1"/>
          </w14:solidFill>
        </w14:textFill>
      </w:rPr>
      <w:tcPr>
        <w:tcBorders>
          <w:top w:val="single" w:color="5B9BD5" w:themeColor="accent1" w:sz="4" w:space="0"/>
          <w:left w:val="single" w:color="5B9BD5" w:themeColor="accent1" w:sz="4" w:space="0"/>
          <w:bottom w:val="single" w:color="5B9BD5" w:themeColor="accent1" w:sz="4" w:space="0"/>
          <w:right w:val="single" w:color="5B9BD5" w:themeColor="accent1" w:sz="4" w:space="0"/>
          <w:insideH w:val="nil"/>
          <w:insideV w:val="nil"/>
        </w:tcBorders>
        <w:shd w:val="clear" w:color="auto" w:fill="5B9BD5" w:themeFill="accent1"/>
      </w:tcPr>
    </w:tblStylePr>
    <w:tblStylePr w:type="lastRow">
      <w:rPr>
        <w:b/>
        <w:bCs/>
      </w:rPr>
      <w:tcPr>
        <w:tcBorders>
          <w:top w:val="double" w:color="5B9BD5" w:themeColor="accent1" w:sz="4" w:space="0"/>
        </w:tcBorders>
      </w:tcPr>
    </w:tblStylePr>
    <w:tblStylePr w:type="firstCol">
      <w:rPr>
        <w:b/>
        <w:bCs/>
      </w:rPr>
    </w:tblStylePr>
    <w:tblStylePr w:type="lastCol">
      <w:rPr>
        <w:b/>
        <w:bCs/>
      </w:rPr>
    </w:tblStylePr>
    <w:tblStylePr w:type="band1Vert">
      <w:tcPr>
        <w:shd w:val="clear" w:color="auto" w:fill="DEEAF6" w:themeFill="accent1" w:themeFillTint="33"/>
      </w:tcPr>
    </w:tblStylePr>
    <w:tblStylePr w:type="band1Horz">
      <w:tcPr>
        <w:shd w:val="clear" w:color="auto" w:fill="DEEAF6" w:themeFill="accent1" w:themeFillTint="33"/>
      </w:tcPr>
    </w:tblStylePr>
  </w:style>
  <w:style w:type="paragraph" w:customStyle="1" w:styleId="86">
    <w:name w:val="石墨文档正文"/>
    <w:qFormat/>
    <w:uiPriority w:val="0"/>
    <w:pPr>
      <w:spacing w:after="160" w:line="259" w:lineRule="auto"/>
    </w:pPr>
    <w:rPr>
      <w:rFonts w:ascii="微软雅黑" w:hAnsi="微软雅黑" w:eastAsia="微软雅黑" w:cs="微软雅黑"/>
      <w:sz w:val="24"/>
      <w:szCs w:val="24"/>
      <w:lang w:val="en-US" w:eastAsia="zh-CN" w:bidi="ar-SA"/>
    </w:rPr>
  </w:style>
  <w:style w:type="table" w:customStyle="1" w:styleId="87">
    <w:name w:val="清单表 3 - 着色 11"/>
    <w:basedOn w:val="17"/>
    <w:uiPriority w:val="48"/>
    <w:tblPr>
      <w:tblBorders>
        <w:top w:val="single" w:color="5B9BD5" w:themeColor="accent1" w:sz="4" w:space="0"/>
        <w:left w:val="single" w:color="5B9BD5" w:themeColor="accent1" w:sz="4" w:space="0"/>
        <w:bottom w:val="single" w:color="5B9BD5" w:themeColor="accent1" w:sz="4" w:space="0"/>
        <w:right w:val="single" w:color="5B9BD5" w:themeColor="accent1" w:sz="4" w:space="0"/>
      </w:tblBorders>
    </w:tblPr>
    <w:tblStylePr w:type="firstRow">
      <w:rPr>
        <w:b/>
        <w:bCs/>
        <w:color w:val="FFFFFF" w:themeColor="background1"/>
        <w14:textFill>
          <w14:solidFill>
            <w14:schemeClr w14:val="bg1"/>
          </w14:solidFill>
        </w14:textFill>
      </w:rPr>
      <w:tcPr>
        <w:shd w:val="clear" w:color="auto" w:fill="5B9BD5" w:themeFill="accent1"/>
      </w:tcPr>
    </w:tblStylePr>
    <w:tblStylePr w:type="lastRow">
      <w:rPr>
        <w:b/>
        <w:bCs/>
      </w:rPr>
      <w:tcPr>
        <w:tcBorders>
          <w:top w:val="double" w:color="5B9BD5" w:themeColor="accent1" w:sz="4" w:space="0"/>
        </w:tcBorders>
        <w:shd w:val="clear" w:color="auto" w:fill="FFFFFF" w:themeFill="background1"/>
      </w:tcPr>
    </w:tblStylePr>
    <w:tblStylePr w:type="firstCol">
      <w:rPr>
        <w:b/>
        <w:bCs/>
      </w:rPr>
      <w:tcPr>
        <w:tcBorders>
          <w:right w:val="nil"/>
        </w:tcBorders>
        <w:shd w:val="clear" w:color="auto" w:fill="FFFFFF" w:themeFill="background1"/>
      </w:tcPr>
    </w:tblStylePr>
    <w:tblStylePr w:type="lastCol">
      <w:rPr>
        <w:b/>
        <w:bCs/>
      </w:rPr>
      <w:tcPr>
        <w:tcBorders>
          <w:left w:val="nil"/>
        </w:tcBorders>
        <w:shd w:val="clear" w:color="auto" w:fill="FFFFFF" w:themeFill="background1"/>
      </w:tcPr>
    </w:tblStylePr>
    <w:tblStylePr w:type="band1Vert">
      <w:tcPr>
        <w:tcBorders>
          <w:left w:val="single" w:color="5B9BD5" w:themeColor="accent1" w:sz="4" w:space="0"/>
          <w:right w:val="single" w:color="5B9BD5" w:themeColor="accent1" w:sz="4" w:space="0"/>
        </w:tcBorders>
      </w:tcPr>
    </w:tblStylePr>
    <w:tblStylePr w:type="band1Horz">
      <w:tcPr>
        <w:tcBorders>
          <w:top w:val="single" w:color="5B9BD5" w:themeColor="accent1" w:sz="4" w:space="0"/>
          <w:bottom w:val="single" w:color="5B9BD5" w:themeColor="accent1" w:sz="4" w:space="0"/>
          <w:insideH w:val="nil"/>
        </w:tcBorders>
      </w:tcPr>
    </w:tblStylePr>
    <w:tblStylePr w:type="neCell">
      <w:tcPr>
        <w:tcBorders>
          <w:left w:val="nil"/>
          <w:bottom w:val="nil"/>
        </w:tcBorders>
      </w:tcPr>
    </w:tblStylePr>
    <w:tblStylePr w:type="nwCell">
      <w:tcPr>
        <w:tcBorders>
          <w:bottom w:val="nil"/>
          <w:right w:val="nil"/>
        </w:tcBorders>
      </w:tcPr>
    </w:tblStylePr>
    <w:tblStylePr w:type="seCell">
      <w:tcPr>
        <w:tcBorders>
          <w:top w:val="double" w:color="5B9BD5" w:themeColor="accent1" w:sz="4" w:space="0"/>
          <w:left w:val="nil"/>
        </w:tcBorders>
      </w:tcPr>
    </w:tblStylePr>
    <w:tblStylePr w:type="swCell">
      <w:tcPr>
        <w:tcBorders>
          <w:top w:val="double" w:color="5B9BD5" w:themeColor="accent1" w:sz="4" w:space="0"/>
          <w:right w:val="nil"/>
        </w:tcBorders>
      </w:tcPr>
    </w:tblStylePr>
  </w:style>
  <w:style w:type="paragraph" w:customStyle="1" w:styleId="88">
    <w:name w:val="技术"/>
    <w:basedOn w:val="67"/>
    <w:link w:val="89"/>
    <w:uiPriority w:val="0"/>
    <w:pPr>
      <w:numPr>
        <w:ilvl w:val="0"/>
        <w:numId w:val="8"/>
      </w:numPr>
    </w:pPr>
  </w:style>
  <w:style w:type="character" w:customStyle="1" w:styleId="89">
    <w:name w:val="技术 Char"/>
    <w:basedOn w:val="66"/>
    <w:link w:val="88"/>
    <w:autoRedefine/>
    <w:qFormat/>
    <w:uiPriority w:val="0"/>
    <w:rPr>
      <w:rFonts w:ascii="微软雅黑" w:hAnsi="微软雅黑" w:eastAsia="微软雅黑" w:cs="微软雅黑"/>
      <w:kern w:val="2"/>
      <w:sz w:val="24"/>
      <w:szCs w:val="21"/>
    </w:rPr>
  </w:style>
  <w:style w:type="paragraph" w:customStyle="1" w:styleId="90">
    <w:name w:val="CN规则"/>
    <w:basedOn w:val="47"/>
    <w:link w:val="91"/>
    <w:qFormat/>
    <w:uiPriority w:val="0"/>
    <w:pPr>
      <w:numPr>
        <w:ilvl w:val="0"/>
        <w:numId w:val="9"/>
      </w:numPr>
      <w:ind w:left="0" w:firstLine="200"/>
    </w:pPr>
  </w:style>
  <w:style w:type="character" w:customStyle="1" w:styleId="91">
    <w:name w:val="CN规则 Char"/>
    <w:basedOn w:val="49"/>
    <w:link w:val="90"/>
    <w:autoRedefine/>
    <w:uiPriority w:val="0"/>
    <w:rPr>
      <w:rFonts w:ascii="思源黑体 CN Regular" w:hAnsi="思源黑体 CN Regular" w:eastAsia="思源黑体 CN Regular" w:cs="Arial"/>
      <w:kern w:val="2"/>
      <w:sz w:val="24"/>
      <w:szCs w:val="21"/>
      <w:lang w:val="en-GB"/>
      <w14:scene3d>
        <w14:lightRig w14:rig="threePt" w14:dir="t">
          <w14:rot w14:lat="0" w14:lon="0" w14:rev="0"/>
        </w14:lightRig>
      </w14:scene3d>
    </w:rPr>
  </w:style>
  <w:style w:type="character" w:customStyle="1" w:styleId="92">
    <w:name w:val="Unresolved Mention"/>
    <w:basedOn w:val="19"/>
    <w:semiHidden/>
    <w:unhideWhenUsed/>
    <w:uiPriority w:val="99"/>
    <w:rPr>
      <w:color w:val="605E5C"/>
      <w:shd w:val="clear" w:color="auto" w:fill="E1DFDD"/>
    </w:rPr>
  </w:style>
  <w:style w:type="paragraph" w:customStyle="1" w:styleId="93">
    <w:name w:val="E01"/>
    <w:basedOn w:val="1"/>
    <w:link w:val="94"/>
    <w:autoRedefine/>
    <w:qFormat/>
    <w:uiPriority w:val="0"/>
    <w:pPr>
      <w:numPr>
        <w:ilvl w:val="0"/>
        <w:numId w:val="10"/>
      </w:numPr>
      <w:spacing w:line="420" w:lineRule="exact"/>
      <w:ind w:left="0" w:firstLine="200" w:firstLineChars="200"/>
    </w:pPr>
    <w:rPr>
      <w:sz w:val="24"/>
    </w:rPr>
  </w:style>
  <w:style w:type="character" w:customStyle="1" w:styleId="94">
    <w:name w:val="E01 字符"/>
    <w:basedOn w:val="32"/>
    <w:link w:val="93"/>
    <w:autoRedefine/>
    <w:qFormat/>
    <w:uiPriority w:val="0"/>
    <w:rPr>
      <w:rFonts w:ascii="思源黑体 CN Regular" w:hAnsi="思源黑体 CN Regular" w:eastAsia="思源黑体 CN Regular" w:cs="微软雅黑"/>
      <w:color w:val="000000" w:themeColor="text1"/>
      <w:kern w:val="2"/>
      <w:sz w:val="24"/>
      <w:szCs w:val="22"/>
      <w14:textFill>
        <w14:solidFill>
          <w14:schemeClr w14:val="tx1"/>
        </w14:solidFill>
      </w14:textFill>
    </w:rPr>
  </w:style>
  <w:style w:type="character" w:styleId="95">
    <w:name w:val="Placeholder Text"/>
    <w:basedOn w:val="19"/>
    <w:semiHidden/>
    <w:uiPriority w:val="99"/>
    <w:rPr>
      <w:color w:val="808080"/>
    </w:rPr>
  </w:style>
  <w:style w:type="paragraph" w:customStyle="1" w:styleId="96">
    <w:name w:val="Revision"/>
    <w:autoRedefine/>
    <w:hidden/>
    <w:semiHidden/>
    <w:qFormat/>
    <w:uiPriority w:val="99"/>
    <w:rPr>
      <w:rFonts w:ascii="思源黑体 CN Regular" w:hAnsi="思源黑体 CN Regular" w:eastAsia="思源黑体 CN Regular" w:cstheme="minorBidi"/>
      <w:kern w:val="2"/>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6" Type="http://schemas.openxmlformats.org/officeDocument/2006/relationships/fontTable" Target="fontTable.xml"/><Relationship Id="rId55" Type="http://schemas.openxmlformats.org/officeDocument/2006/relationships/customXml" Target="../customXml/item2.xml"/><Relationship Id="rId54" Type="http://schemas.openxmlformats.org/officeDocument/2006/relationships/numbering" Target="numbering.xml"/><Relationship Id="rId53" Type="http://schemas.openxmlformats.org/officeDocument/2006/relationships/customXml" Target="../customXml/item1.xml"/><Relationship Id="rId52" Type="http://schemas.openxmlformats.org/officeDocument/2006/relationships/image" Target="media/image46.png"/><Relationship Id="rId51" Type="http://schemas.openxmlformats.org/officeDocument/2006/relationships/image" Target="media/image45.png"/><Relationship Id="rId50" Type="http://schemas.openxmlformats.org/officeDocument/2006/relationships/image" Target="media/image44.png"/><Relationship Id="rId5" Type="http://schemas.openxmlformats.org/officeDocument/2006/relationships/header" Target="header1.xml"/><Relationship Id="rId49" Type="http://schemas.openxmlformats.org/officeDocument/2006/relationships/image" Target="media/image43.png"/><Relationship Id="rId48" Type="http://schemas.openxmlformats.org/officeDocument/2006/relationships/image" Target="media/image42.png"/><Relationship Id="rId47" Type="http://schemas.openxmlformats.org/officeDocument/2006/relationships/image" Target="media/image41.png"/><Relationship Id="rId46" Type="http://schemas.openxmlformats.org/officeDocument/2006/relationships/image" Target="media/image40.png"/><Relationship Id="rId45" Type="http://schemas.openxmlformats.org/officeDocument/2006/relationships/image" Target="media/image39.png"/><Relationship Id="rId44" Type="http://schemas.openxmlformats.org/officeDocument/2006/relationships/image" Target="media/image38.png"/><Relationship Id="rId43" Type="http://schemas.openxmlformats.org/officeDocument/2006/relationships/image" Target="media/image37.png"/><Relationship Id="rId42" Type="http://schemas.openxmlformats.org/officeDocument/2006/relationships/image" Target="media/image36.png"/><Relationship Id="rId41" Type="http://schemas.openxmlformats.org/officeDocument/2006/relationships/image" Target="media/image35.png"/><Relationship Id="rId40" Type="http://schemas.openxmlformats.org/officeDocument/2006/relationships/image" Target="media/image34.png"/><Relationship Id="rId4" Type="http://schemas.openxmlformats.org/officeDocument/2006/relationships/endnotes" Target="endnotes.xml"/><Relationship Id="rId39" Type="http://schemas.openxmlformats.org/officeDocument/2006/relationships/image" Target="media/image33.png"/><Relationship Id="rId38" Type="http://schemas.openxmlformats.org/officeDocument/2006/relationships/image" Target="media/image32.png"/><Relationship Id="rId37" Type="http://schemas.openxmlformats.org/officeDocument/2006/relationships/image" Target="media/image31.png"/><Relationship Id="rId36" Type="http://schemas.openxmlformats.org/officeDocument/2006/relationships/image" Target="media/image30.png"/><Relationship Id="rId35" Type="http://schemas.openxmlformats.org/officeDocument/2006/relationships/image" Target="media/image29.png"/><Relationship Id="rId34" Type="http://schemas.openxmlformats.org/officeDocument/2006/relationships/image" Target="media/image28.jpeg"/><Relationship Id="rId33" Type="http://schemas.openxmlformats.org/officeDocument/2006/relationships/image" Target="media/image27.png"/><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footnotes" Target="footnotes.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120"/>
    <customShpInfo spid="_x0000_s2074"/>
    <customShpInfo spid="_x0000_s2119"/>
    <customShpInfo spid="_x0000_s2057"/>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489726B-54C0-4AFB-85B5-7CA8CBF52448}">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33</Pages>
  <Words>3823</Words>
  <Characters>21794</Characters>
  <Lines>181</Lines>
  <Paragraphs>51</Paragraphs>
  <TotalTime>5</TotalTime>
  <ScaleCrop>false</ScaleCrop>
  <LinksUpToDate>false</LinksUpToDate>
  <CharactersWithSpaces>25566</CharactersWithSpaces>
  <Application>WPS Office_12.1.0.16729_F1E327BC-269C-435d-A152-05C5408002CA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2023-10-07T03:12:00Z</dcterms:created>
  <dc:creator>MakeX组委会</dc:creator>
  <cp:keywords>MakeX组委会</cp:keywords>
  <cp:lastModifiedBy>任利军</cp:lastModifiedBy>
  <cp:lastPrinted>2024-01-17T07:19:00Z</cp:lastPrinted>
  <dcterms:modified xsi:type="dcterms:W3CDTF">2024-05-09T07:43:30Z</dcterms:modified>
  <cp:revision>112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2052-12.1.0.16729</vt:lpwstr>
  </property>
  <property fmtid="{D5CDD505-2E9C-101B-9397-08002B2CF9AE}" pid="3" name="ICV">
    <vt:lpwstr>C70FD3B2DAAB4D1198856485B1A85413_12</vt:lpwstr>
  </property>
</Properties>
</file>